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97" w:rsidRDefault="00E26CC8">
      <w:pPr>
        <w:spacing w:before="240" w:after="240"/>
        <w:jc w:val="right"/>
      </w:pPr>
      <w:r>
        <w:rPr>
          <w:b/>
        </w:rPr>
        <w:t>Куратор:</w:t>
      </w:r>
      <w:r>
        <w:t xml:space="preserve"> Шишкина Ольга Владимировна, к</w:t>
      </w:r>
      <w:proofErr w:type="gramStart"/>
      <w:r>
        <w:t>.</w:t>
      </w:r>
      <w:proofErr w:type="gramEnd"/>
      <w:r>
        <w:t>полит.н., доцент кафедры международных отношений и внешней политики России МГИМО МИД России</w:t>
      </w:r>
    </w:p>
    <w:p w:rsidR="00385797" w:rsidRDefault="00E26CC8">
      <w:pPr>
        <w:spacing w:before="240" w:after="240"/>
        <w:jc w:val="right"/>
        <w:rPr>
          <w:b/>
        </w:rPr>
      </w:pPr>
      <w:r>
        <w:rPr>
          <w:b/>
        </w:rPr>
        <w:t>Участники-составители:</w:t>
      </w:r>
    </w:p>
    <w:p w:rsidR="00385797" w:rsidRDefault="00E26CC8">
      <w:pPr>
        <w:spacing w:before="240" w:after="240"/>
        <w:jc w:val="right"/>
      </w:pPr>
      <w:proofErr w:type="spellStart"/>
      <w:r>
        <w:t>Будакова</w:t>
      </w:r>
      <w:proofErr w:type="spellEnd"/>
      <w:r>
        <w:t xml:space="preserve"> А.А.</w:t>
      </w:r>
    </w:p>
    <w:p w:rsidR="00385797" w:rsidRDefault="00E26CC8">
      <w:pPr>
        <w:spacing w:before="240" w:after="240"/>
        <w:jc w:val="right"/>
      </w:pPr>
      <w:r>
        <w:t>Габриелян А.А.</w:t>
      </w:r>
    </w:p>
    <w:p w:rsidR="00385797" w:rsidRDefault="00E26CC8">
      <w:pPr>
        <w:spacing w:before="240" w:after="240"/>
        <w:jc w:val="right"/>
      </w:pPr>
      <w:proofErr w:type="spellStart"/>
      <w:r>
        <w:t>Каминченко</w:t>
      </w:r>
      <w:proofErr w:type="spellEnd"/>
      <w:r>
        <w:t xml:space="preserve"> Д.И.</w:t>
      </w:r>
    </w:p>
    <w:p w:rsidR="00385797" w:rsidRDefault="00E26CC8">
      <w:pPr>
        <w:spacing w:before="240" w:after="240"/>
        <w:jc w:val="right"/>
      </w:pPr>
      <w:r>
        <w:t>Мокрушина Н.С.</w:t>
      </w:r>
    </w:p>
    <w:p w:rsidR="00385797" w:rsidRDefault="00E26CC8">
      <w:pPr>
        <w:spacing w:before="240" w:after="240"/>
        <w:jc w:val="right"/>
      </w:pPr>
      <w:r>
        <w:t>Невская А.А.</w:t>
      </w:r>
    </w:p>
    <w:p w:rsidR="00385797" w:rsidRDefault="00E26CC8">
      <w:pPr>
        <w:spacing w:before="240" w:after="240"/>
        <w:jc w:val="right"/>
      </w:pPr>
      <w:proofErr w:type="spellStart"/>
      <w:r>
        <w:t>Шоджонов</w:t>
      </w:r>
      <w:proofErr w:type="spellEnd"/>
      <w:r>
        <w:t xml:space="preserve"> И.Ф.</w:t>
      </w:r>
    </w:p>
    <w:p w:rsidR="00385797" w:rsidRDefault="00E26CC8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5797" w:rsidRDefault="00E26CC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5797" w:rsidRDefault="00E26CC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Ролевая игра “Армения: в поисках модели совместимой интеграции с ЕС и ЕАЭС”</w:t>
      </w:r>
    </w:p>
    <w:p w:rsidR="00385797" w:rsidRDefault="00E26CC8">
      <w:pPr>
        <w:spacing w:before="240" w:after="24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Методическая инструкция для интерактивного занятия</w:t>
      </w:r>
      <w:r>
        <w:rPr>
          <w:b/>
          <w:sz w:val="24"/>
          <w:szCs w:val="24"/>
        </w:rPr>
        <w:t xml:space="preserve"> </w:t>
      </w:r>
    </w:p>
    <w:p w:rsidR="00385797" w:rsidRDefault="00385797">
      <w:pPr>
        <w:spacing w:before="240" w:after="240"/>
        <w:jc w:val="both"/>
        <w:rPr>
          <w:b/>
        </w:rPr>
      </w:pPr>
    </w:p>
    <w:p w:rsidR="00385797" w:rsidRDefault="00E26CC8">
      <w:pPr>
        <w:spacing w:before="240" w:after="240"/>
        <w:jc w:val="both"/>
      </w:pPr>
      <w:r>
        <w:rPr>
          <w:b/>
        </w:rPr>
        <w:t>Формат и длительность занятия:</w:t>
      </w:r>
      <w:r>
        <w:t xml:space="preserve"> ролевая игра, 3 часа (без учета самостоятельной подготовительной работы)</w:t>
      </w:r>
    </w:p>
    <w:p w:rsidR="00385797" w:rsidRDefault="00E26CC8">
      <w:pPr>
        <w:spacing w:before="240" w:after="240"/>
        <w:jc w:val="both"/>
      </w:pPr>
      <w:r>
        <w:t>Игра представляет из се</w:t>
      </w:r>
      <w:r>
        <w:t xml:space="preserve">бя моделирование </w:t>
      </w:r>
      <w:proofErr w:type="spellStart"/>
      <w:r>
        <w:t>мультилатерального</w:t>
      </w:r>
      <w:proofErr w:type="spellEnd"/>
      <w:r>
        <w:t xml:space="preserve"> и многоэтапного переговорного процесса, в котором задействованы следующие стороны: ЕС, Россия, Армения, ЕАЭС.</w:t>
      </w:r>
    </w:p>
    <w:p w:rsidR="00385797" w:rsidRDefault="00E26CC8">
      <w:pPr>
        <w:spacing w:before="240" w:after="240"/>
        <w:jc w:val="both"/>
      </w:pPr>
      <w:r>
        <w:rPr>
          <w:b/>
        </w:rPr>
        <w:t>Целевая аудитория:</w:t>
      </w:r>
      <w:r>
        <w:t xml:space="preserve"> студенты магистратуры следующих направлений: “международные отношения”, “зарубежное регионо</w:t>
      </w:r>
      <w:r>
        <w:t>ведение”, “политология”, “история”, “экономика”, “международное право”.</w:t>
      </w:r>
    </w:p>
    <w:p w:rsidR="00385797" w:rsidRDefault="00E26CC8">
      <w:pPr>
        <w:spacing w:before="240" w:after="240"/>
        <w:jc w:val="both"/>
      </w:pPr>
      <w:r>
        <w:rPr>
          <w:b/>
        </w:rPr>
        <w:t>Цель:</w:t>
      </w:r>
      <w:r>
        <w:t xml:space="preserve"> сформировать понимание особенностей взаимодействия ЕС с партнерами по проекту “Восточное партнерство” на примере Армении в контексте ее отношений с Россией и ЕАЭС.</w:t>
      </w:r>
    </w:p>
    <w:p w:rsidR="00385797" w:rsidRDefault="00385797">
      <w:pPr>
        <w:spacing w:before="240" w:after="240"/>
        <w:jc w:val="both"/>
        <w:rPr>
          <w:b/>
        </w:rPr>
      </w:pPr>
    </w:p>
    <w:p w:rsidR="00385797" w:rsidRDefault="00385797">
      <w:pPr>
        <w:spacing w:before="240" w:after="240"/>
        <w:jc w:val="both"/>
        <w:rPr>
          <w:b/>
        </w:rPr>
      </w:pPr>
    </w:p>
    <w:p w:rsidR="00385797" w:rsidRDefault="00E26CC8">
      <w:pPr>
        <w:spacing w:before="240" w:after="240"/>
        <w:jc w:val="both"/>
        <w:rPr>
          <w:b/>
        </w:rPr>
      </w:pPr>
      <w:r>
        <w:rPr>
          <w:b/>
        </w:rPr>
        <w:lastRenderedPageBreak/>
        <w:t>Задачи:</w:t>
      </w:r>
    </w:p>
    <w:p w:rsidR="00385797" w:rsidRDefault="00E26CC8">
      <w:pPr>
        <w:spacing w:before="240" w:after="240"/>
        <w:jc w:val="both"/>
      </w:pPr>
      <w:r>
        <w:t>-Пол</w:t>
      </w:r>
      <w:r>
        <w:t>учить представление о стратегиях и сценариях дипломатических переговоров, а также приобрести навыки представления и отстаивания отдельных интересов и комплексных позиций;</w:t>
      </w:r>
    </w:p>
    <w:p w:rsidR="00385797" w:rsidRDefault="00E26CC8">
      <w:pPr>
        <w:spacing w:before="240" w:after="240"/>
        <w:jc w:val="both"/>
      </w:pPr>
      <w:r>
        <w:t xml:space="preserve">-Уметь анализировать и </w:t>
      </w:r>
      <w:proofErr w:type="spellStart"/>
      <w:r>
        <w:t>приоритизировать</w:t>
      </w:r>
      <w:proofErr w:type="spellEnd"/>
      <w:r>
        <w:t xml:space="preserve"> национальные и наднациональные интересы, пони</w:t>
      </w:r>
      <w:r>
        <w:t>мать архитектуру внешних связей ЕС, Армении, России и ЕАЭС.</w:t>
      </w:r>
    </w:p>
    <w:p w:rsidR="00385797" w:rsidRDefault="00E26CC8">
      <w:pPr>
        <w:spacing w:before="240" w:after="240"/>
        <w:jc w:val="both"/>
      </w:pPr>
      <w:r>
        <w:t>-Понимать особенности взаимодействия Армении с ЕС, ЕАЭС и Россией, основных проблем, которые стоят перед страной, возможностей и последствий сближения с ЕС, ЕАЭС и Россией.</w:t>
      </w:r>
    </w:p>
    <w:p w:rsidR="00385797" w:rsidRDefault="00E26CC8">
      <w:pPr>
        <w:spacing w:before="240" w:after="240"/>
        <w:jc w:val="both"/>
      </w:pPr>
      <w:r>
        <w:rPr>
          <w:b/>
        </w:rPr>
        <w:t>Исходные данные</w:t>
      </w:r>
      <w:r>
        <w:t xml:space="preserve">: </w:t>
      </w:r>
    </w:p>
    <w:p w:rsidR="00385797" w:rsidRDefault="00E26CC8">
      <w:pPr>
        <w:spacing w:before="240" w:after="240"/>
        <w:jc w:val="both"/>
      </w:pPr>
      <w:r>
        <w:t xml:space="preserve">Игра </w:t>
      </w:r>
      <w:r>
        <w:t>отсылает участников к событиям 2013 года, когда перед Арменией стояла задача сохранения эклектичной внешней политики, предполагающей развитие тесных связей с ЕС с одной стороны, и Россией и ЕАЭС - с другой. Учитывая динамику геополитических изменений, Росс</w:t>
      </w:r>
      <w:r>
        <w:t>ия и ЕС были заинтересованы в привлечении Армении к взаимодействию, партнерству и сотрудничеству каждый на своей стороне. Ход и итог игры не детерминированы исторически сложившимися событиями.</w:t>
      </w:r>
    </w:p>
    <w:p w:rsidR="00385797" w:rsidRDefault="00E26CC8">
      <w:pPr>
        <w:spacing w:before="240" w:after="240"/>
        <w:jc w:val="both"/>
        <w:rPr>
          <w:b/>
        </w:rPr>
      </w:pPr>
      <w:r>
        <w:rPr>
          <w:b/>
        </w:rPr>
        <w:t>Подготовка к игре. Время на подготовку – 1 неделя.</w:t>
      </w:r>
    </w:p>
    <w:p w:rsidR="00385797" w:rsidRDefault="00E26CC8">
      <w:pPr>
        <w:spacing w:before="240" w:after="240"/>
        <w:jc w:val="both"/>
      </w:pPr>
      <w:r>
        <w:t xml:space="preserve">Студенты получают список литературы (Приложение №4). За неделю до игры происходит распределение ролей между студентами. </w:t>
      </w:r>
    </w:p>
    <w:p w:rsidR="00385797" w:rsidRDefault="00E26CC8">
      <w:pPr>
        <w:spacing w:before="240" w:after="240" w:line="240" w:lineRule="auto"/>
        <w:jc w:val="both"/>
      </w:pPr>
      <w:r>
        <w:t>В ролевой игре участвуют от 7 до 17 человек, сгруппированные следующим образом:</w:t>
      </w:r>
    </w:p>
    <w:p w:rsidR="00385797" w:rsidRDefault="00E26CC8">
      <w:pPr>
        <w:spacing w:before="240" w:after="240" w:line="240" w:lineRule="auto"/>
        <w:jc w:val="both"/>
      </w:pPr>
      <w:r>
        <w:t>-делегация ЕС – от 1 до 3 человек;</w:t>
      </w:r>
    </w:p>
    <w:p w:rsidR="00385797" w:rsidRDefault="00E26CC8">
      <w:pPr>
        <w:spacing w:before="240" w:after="240" w:line="240" w:lineRule="auto"/>
        <w:jc w:val="both"/>
      </w:pPr>
      <w:r>
        <w:t>-делегация Армении –</w:t>
      </w:r>
      <w:r>
        <w:t xml:space="preserve"> от 3 до </w:t>
      </w:r>
      <w:proofErr w:type="gramStart"/>
      <w:r>
        <w:t>9  человек</w:t>
      </w:r>
      <w:proofErr w:type="gramEnd"/>
      <w:r>
        <w:t>;</w:t>
      </w:r>
    </w:p>
    <w:p w:rsidR="00385797" w:rsidRDefault="00E26CC8">
      <w:pPr>
        <w:spacing w:before="240" w:after="240" w:line="240" w:lineRule="auto"/>
        <w:jc w:val="both"/>
      </w:pPr>
      <w:r>
        <w:t xml:space="preserve">-делегация России – от 1 до </w:t>
      </w:r>
      <w:proofErr w:type="gramStart"/>
      <w:r>
        <w:t>2  человек</w:t>
      </w:r>
      <w:proofErr w:type="gramEnd"/>
      <w:r>
        <w:t>;</w:t>
      </w:r>
    </w:p>
    <w:p w:rsidR="00385797" w:rsidRDefault="00E26CC8">
      <w:pPr>
        <w:spacing w:before="240" w:after="240" w:line="240" w:lineRule="auto"/>
        <w:jc w:val="both"/>
      </w:pPr>
      <w:r>
        <w:t xml:space="preserve">-делегация ЕАЭС – от 1 до </w:t>
      </w:r>
      <w:proofErr w:type="gramStart"/>
      <w:r>
        <w:t>2  человек</w:t>
      </w:r>
      <w:proofErr w:type="gramEnd"/>
      <w:r>
        <w:t>.</w:t>
      </w:r>
    </w:p>
    <w:p w:rsidR="00385797" w:rsidRDefault="00E26CC8">
      <w:pPr>
        <w:spacing w:before="240" w:after="240" w:line="240" w:lineRule="auto"/>
        <w:jc w:val="both"/>
      </w:pPr>
      <w:r>
        <w:t xml:space="preserve">представитель СМИ – </w:t>
      </w:r>
      <w:proofErr w:type="gramStart"/>
      <w:r>
        <w:t>1  человек</w:t>
      </w:r>
      <w:proofErr w:type="gramEnd"/>
      <w:r>
        <w:t>*.</w:t>
      </w:r>
    </w:p>
    <w:p w:rsidR="00385797" w:rsidRDefault="00E26CC8">
      <w:pPr>
        <w:spacing w:before="240" w:after="240"/>
        <w:jc w:val="both"/>
      </w:pPr>
      <w:r>
        <w:t>При этом делегации Армении и ЕС состоят из трех типов игроков: игрока(</w:t>
      </w:r>
      <w:proofErr w:type="spellStart"/>
      <w:r>
        <w:t>ов</w:t>
      </w:r>
      <w:proofErr w:type="spellEnd"/>
      <w:r>
        <w:t>), отвечающего за экономический блок, игрока(</w:t>
      </w:r>
      <w:proofErr w:type="spellStart"/>
      <w:r>
        <w:t>ов</w:t>
      </w:r>
      <w:proofErr w:type="spellEnd"/>
      <w:r>
        <w:t>), от</w:t>
      </w:r>
      <w:r>
        <w:t>вечающего за политический блок, игрока(</w:t>
      </w:r>
      <w:proofErr w:type="spellStart"/>
      <w:r>
        <w:t>ов</w:t>
      </w:r>
      <w:proofErr w:type="spellEnd"/>
      <w:r>
        <w:t>), отвечающего за культурно-образовательный. Делегации России и ЕАЭС состоят из игроков, отвечающих за все три направления, если делегация представлена всего одним студентом, или игроками, один из которых отвечает з</w:t>
      </w:r>
      <w:r>
        <w:t>а два направления сразу (политическое и культурно-образовательное или культурно-образовательное и экономическое), а второй за оставшееся непокрытое (экономическое и политическое соответственно), если делегация представлена сразу двумя студентами.</w:t>
      </w:r>
    </w:p>
    <w:p w:rsidR="00385797" w:rsidRDefault="00E26CC8">
      <w:pPr>
        <w:spacing w:before="240" w:after="240"/>
        <w:jc w:val="both"/>
      </w:pPr>
      <w:r>
        <w:lastRenderedPageBreak/>
        <w:t xml:space="preserve"> *количес</w:t>
      </w:r>
      <w:r>
        <w:t>тво студентов в делегации может варьироваться в зависимости от количественного состава группы студентов. Представитель СМИ может исключаться из состава ролей, в таком случае роль представителя СМИ берет на себя модератор.</w:t>
      </w:r>
    </w:p>
    <w:p w:rsidR="00385797" w:rsidRDefault="00385797">
      <w:pPr>
        <w:spacing w:before="240" w:after="240"/>
        <w:jc w:val="both"/>
        <w:rPr>
          <w:b/>
        </w:rPr>
      </w:pPr>
    </w:p>
    <w:p w:rsidR="00385797" w:rsidRDefault="00E26CC8">
      <w:pPr>
        <w:spacing w:before="240" w:after="240"/>
        <w:jc w:val="both"/>
      </w:pPr>
      <w:r>
        <w:rPr>
          <w:b/>
        </w:rPr>
        <w:t>Ход игры:</w:t>
      </w:r>
      <w:r>
        <w:t xml:space="preserve"> 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t xml:space="preserve">Модератор в самом начале игры проводит инструктаж и знакомит игроков с правилами игры.  </w:t>
      </w:r>
      <w:r>
        <w:rPr>
          <w:b/>
          <w:i/>
        </w:rPr>
        <w:t>5 минут.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t xml:space="preserve">Во время инструктажа каждая группа получает техническое задание (Приложение №1), содержащее цели блока и делегации страны/союза согласно полученным ролям. </w:t>
      </w:r>
      <w:r>
        <w:rPr>
          <w:b/>
          <w:i/>
        </w:rPr>
        <w:t>5 ми</w:t>
      </w:r>
      <w:r>
        <w:rPr>
          <w:b/>
          <w:i/>
        </w:rPr>
        <w:t>нут на ознакомление.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rPr>
          <w:b/>
          <w:i/>
        </w:rPr>
        <w:t>1 этап. Время на прохождение этапа 40 мин</w:t>
      </w:r>
    </w:p>
    <w:p w:rsidR="00385797" w:rsidRDefault="00E26CC8">
      <w:pPr>
        <w:spacing w:before="240" w:after="240"/>
        <w:jc w:val="both"/>
      </w:pPr>
      <w:r>
        <w:t xml:space="preserve">После ознакомления с техническим заданием участники в рамках четырех (4) групп обсуждают общую позицию своей делегации. </w:t>
      </w:r>
    </w:p>
    <w:p w:rsidR="00385797" w:rsidRDefault="00E26CC8">
      <w:pPr>
        <w:spacing w:before="240" w:after="240"/>
        <w:jc w:val="both"/>
      </w:pPr>
      <w:r>
        <w:t>Согласовав общую позицию, игроки, ответственные за отдельные блоки позиц</w:t>
      </w:r>
      <w:r>
        <w:t xml:space="preserve">ии делегации (согласно полученной роли), начинают согласование позиций в рамках своего направления с делегациями ЕС, России и ЕАЭС. </w:t>
      </w:r>
    </w:p>
    <w:p w:rsidR="00385797" w:rsidRDefault="00E26CC8">
      <w:pPr>
        <w:spacing w:before="240" w:after="240"/>
        <w:jc w:val="both"/>
      </w:pPr>
      <w:r>
        <w:t>Между делегациями ходит представитель СМИ, чья задача заключается в выявлении наиболее резонансных тем (работает все заняти</w:t>
      </w:r>
      <w:r>
        <w:t xml:space="preserve">е) и их представлении делегатам в виде срочных новостей во время медиа пауз. 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rPr>
          <w:b/>
          <w:i/>
        </w:rPr>
        <w:t>2 этап. Время на прохождение этапа 30 минут.</w:t>
      </w:r>
    </w:p>
    <w:p w:rsidR="00385797" w:rsidRDefault="00E26CC8">
      <w:pPr>
        <w:spacing w:before="240" w:after="240"/>
        <w:jc w:val="both"/>
      </w:pPr>
      <w:r>
        <w:t xml:space="preserve">Игроки возвращаются к своим делегациям для выработки переговорной позиции с каждым из партнеров согласно Техническому заданию.  </w:t>
      </w:r>
    </w:p>
    <w:p w:rsidR="00385797" w:rsidRDefault="00E26CC8">
      <w:pPr>
        <w:spacing w:before="240" w:after="240"/>
        <w:jc w:val="both"/>
      </w:pPr>
      <w:r>
        <w:t>ЕС п</w:t>
      </w:r>
      <w:r>
        <w:t>олучает информацию о резкой смене контекста переговоров (Приложение №2). Делегация ЕС пишет дипломатическую записку делегации Армении. Записка передается делегации Армении модератором через 15 минут после начала 2 этапа.</w:t>
      </w:r>
    </w:p>
    <w:p w:rsidR="00385797" w:rsidRDefault="00E26CC8">
      <w:pPr>
        <w:spacing w:before="240" w:after="240"/>
        <w:jc w:val="both"/>
      </w:pPr>
      <w:r>
        <w:t>Информация о жесткой позиции ЕС про</w:t>
      </w:r>
      <w:r>
        <w:t xml:space="preserve">сачивается в СМИ. СМИ после прочтения делегацией Армении дипломатической записки выступают с срочными новостями перед всеми участниками. </w:t>
      </w:r>
    </w:p>
    <w:p w:rsidR="00385797" w:rsidRDefault="00E26CC8">
      <w:pPr>
        <w:spacing w:before="240" w:after="240"/>
        <w:jc w:val="both"/>
      </w:pPr>
      <w:r>
        <w:t xml:space="preserve">Позиции внутри делегаций пересматриваются с учетом нового контекста. 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rPr>
          <w:b/>
          <w:i/>
        </w:rPr>
        <w:t>Медиа-пауза – 10 минут.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rPr>
          <w:b/>
          <w:i/>
        </w:rPr>
        <w:t>3 этап. Время на прохожд</w:t>
      </w:r>
      <w:r>
        <w:rPr>
          <w:b/>
          <w:i/>
        </w:rPr>
        <w:t>ение этапа 40 минут.</w:t>
      </w:r>
    </w:p>
    <w:p w:rsidR="00385797" w:rsidRDefault="00E26CC8">
      <w:pPr>
        <w:spacing w:before="240" w:after="240"/>
        <w:jc w:val="both"/>
      </w:pPr>
      <w:r>
        <w:lastRenderedPageBreak/>
        <w:t xml:space="preserve">Представители делегации Армении в составе ответственных за экономическое, политическое и культурно-образовательное направление направляются к делегациям ЕС, РФ и ЕАЭС для согласования текста итогового документа/соглашения (согласно </w:t>
      </w:r>
      <w:proofErr w:type="gramStart"/>
      <w:r>
        <w:t>обр</w:t>
      </w:r>
      <w:r>
        <w:t>азцу</w:t>
      </w:r>
      <w:proofErr w:type="gramEnd"/>
      <w:r>
        <w:t xml:space="preserve"> в Приложении №3). </w:t>
      </w:r>
    </w:p>
    <w:p w:rsidR="00385797" w:rsidRDefault="00E26CC8">
      <w:pPr>
        <w:spacing w:before="240" w:after="240"/>
        <w:jc w:val="both"/>
      </w:pPr>
      <w:r>
        <w:t xml:space="preserve">Как только одна из частей делегации Армении согласовала с какой-либо из сторон соглашение, игроки объявляют об этом. Текст соглашения зачитывается /выводится на экран для всех. </w:t>
      </w:r>
    </w:p>
    <w:p w:rsidR="00385797" w:rsidRDefault="00E26CC8">
      <w:pPr>
        <w:spacing w:before="240" w:after="240"/>
        <w:jc w:val="both"/>
      </w:pPr>
      <w:r>
        <w:t>Представители делегаций прерывают переговоры для обсуж</w:t>
      </w:r>
      <w:r>
        <w:t xml:space="preserve">дения изменившихся обстоятельств внутри делегации. </w:t>
      </w:r>
    </w:p>
    <w:p w:rsidR="00385797" w:rsidRDefault="00E26CC8">
      <w:pPr>
        <w:spacing w:before="240" w:after="240"/>
        <w:jc w:val="both"/>
      </w:pPr>
      <w:r>
        <w:t xml:space="preserve">Затем представители делегации Армении и делегаций, не подписавших итоговый документ, продолжают согласование их позиций с учетом положений первого подписанного итогового документа за игру. 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rPr>
          <w:b/>
          <w:i/>
        </w:rPr>
        <w:t>Медиа-пауза – 5 минут.</w:t>
      </w:r>
    </w:p>
    <w:p w:rsidR="00385797" w:rsidRDefault="00E26CC8">
      <w:pPr>
        <w:spacing w:before="240" w:after="240"/>
        <w:jc w:val="both"/>
        <w:rPr>
          <w:b/>
          <w:i/>
        </w:rPr>
      </w:pPr>
      <w:r>
        <w:rPr>
          <w:b/>
          <w:i/>
        </w:rPr>
        <w:t>4 этап. Время на прохождение этапа - 20 минут.</w:t>
      </w:r>
    </w:p>
    <w:p w:rsidR="00385797" w:rsidRDefault="00E26CC8">
      <w:pPr>
        <w:spacing w:before="240" w:after="240"/>
        <w:jc w:val="both"/>
      </w:pPr>
      <w:r>
        <w:t xml:space="preserve">Составление итоговых документов между Арменией и оставшимися акторами. </w:t>
      </w:r>
    </w:p>
    <w:p w:rsidR="00385797" w:rsidRDefault="00E26CC8">
      <w:pPr>
        <w:spacing w:before="240" w:after="240"/>
        <w:jc w:val="both"/>
      </w:pPr>
      <w:r>
        <w:rPr>
          <w:b/>
          <w:i/>
        </w:rPr>
        <w:t>5 этап (Заключительный) – 15 минут.</w:t>
      </w:r>
      <w:r>
        <w:t xml:space="preserve"> Обсуждение, подведение итогов.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385797">
      <w:pPr>
        <w:spacing w:before="240" w:after="240"/>
        <w:jc w:val="both"/>
      </w:pP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  <w:rPr>
          <w:b/>
        </w:rPr>
      </w:pPr>
      <w:r>
        <w:rPr>
          <w:b/>
        </w:rPr>
        <w:t>Критерии оценки преподавателем успеха сту</w:t>
      </w:r>
      <w:r>
        <w:rPr>
          <w:b/>
        </w:rPr>
        <w:t>дентов в игре:</w:t>
      </w:r>
    </w:p>
    <w:p w:rsidR="00385797" w:rsidRDefault="00E26CC8">
      <w:pPr>
        <w:spacing w:before="240" w:after="240"/>
        <w:ind w:left="1080" w:hanging="360"/>
        <w:jc w:val="both"/>
      </w:pPr>
      <w:r>
        <w:t xml:space="preserve">1. </w:t>
      </w:r>
      <w:r>
        <w:tab/>
        <w:t>Количественный параметр: на основе согласованного итогового документа подсчитывается сумма баллов в соответствии с критериями по каждому из обсужденных вопросов (баллы указаны в техническом задании).</w:t>
      </w:r>
    </w:p>
    <w:p w:rsidR="00385797" w:rsidRDefault="00E26CC8">
      <w:pPr>
        <w:spacing w:before="240" w:after="240"/>
        <w:ind w:left="1080" w:hanging="360"/>
        <w:jc w:val="both"/>
      </w:pPr>
      <w:r>
        <w:t xml:space="preserve">2. </w:t>
      </w:r>
      <w:r>
        <w:tab/>
        <w:t>Участники не должны получить отри</w:t>
      </w:r>
      <w:r>
        <w:t>цательный итоговый балл по итогам игры.</w:t>
      </w:r>
    </w:p>
    <w:p w:rsidR="00385797" w:rsidRDefault="00E26CC8">
      <w:pPr>
        <w:spacing w:before="240" w:after="240"/>
        <w:ind w:left="1080" w:hanging="360"/>
        <w:jc w:val="both"/>
      </w:pPr>
      <w:r>
        <w:t>P.S. Отсутствие по итогам игры согласованного документа по каждому из вариантов взаимодействия (Армения - ЕС, Армения - РФ, Армения - ЕАЭС) автоматически приводит всех игроков к отрицательному результату.</w:t>
      </w:r>
    </w:p>
    <w:p w:rsidR="00385797" w:rsidRDefault="00E26CC8">
      <w:pPr>
        <w:spacing w:before="240" w:after="240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385797">
      <w:pPr>
        <w:spacing w:before="240" w:after="240"/>
      </w:pPr>
    </w:p>
    <w:p w:rsidR="00385797" w:rsidRDefault="00E26CC8">
      <w:pPr>
        <w:spacing w:before="240" w:after="240"/>
        <w:jc w:val="right"/>
      </w:pPr>
      <w:r>
        <w:lastRenderedPageBreak/>
        <w:t>Прилож</w:t>
      </w:r>
      <w:r>
        <w:t>ение №1</w:t>
      </w:r>
    </w:p>
    <w:p w:rsidR="00385797" w:rsidRDefault="00E26CC8">
      <w:pPr>
        <w:spacing w:before="240" w:after="240"/>
        <w:jc w:val="both"/>
        <w:rPr>
          <w:b/>
        </w:rPr>
      </w:pPr>
      <w:r>
        <w:rPr>
          <w:b/>
        </w:rPr>
        <w:t>Техническое задание для делегатов.</w:t>
      </w:r>
    </w:p>
    <w:p w:rsidR="00385797" w:rsidRDefault="00E26CC8">
      <w:pPr>
        <w:spacing w:before="240" w:after="240"/>
        <w:jc w:val="both"/>
      </w:pPr>
      <w:r>
        <w:t>Армения.</w:t>
      </w:r>
    </w:p>
    <w:p w:rsidR="00385797" w:rsidRDefault="00E26CC8">
      <w:pPr>
        <w:spacing w:before="240" w:after="240"/>
        <w:jc w:val="both"/>
      </w:pPr>
      <w:r>
        <w:t xml:space="preserve">Южно-Кавказское государство, стремящееся к сбалансированной внешней политике. Геополитическая обстановка последнего десятилетия и особенности экономического развития </w:t>
      </w:r>
      <w:proofErr w:type="gramStart"/>
      <w:r>
        <w:t>заставляют</w:t>
      </w:r>
      <w:proofErr w:type="gramEnd"/>
      <w:r>
        <w:t xml:space="preserve"> страну тонко маневрировать </w:t>
      </w:r>
      <w:r>
        <w:t>между интересами крупных игроков, в том числе ЕС, РФ, ЕАЭС.</w:t>
      </w:r>
    </w:p>
    <w:p w:rsidR="00385797" w:rsidRDefault="00E26CC8">
      <w:pPr>
        <w:spacing w:before="240" w:after="240"/>
        <w:jc w:val="both"/>
      </w:pPr>
      <w:r>
        <w:t>1 сентября 2013 года правительство Армении сообщило, что готовится к подписанию Соглашение о глубоком и всеобъемлющем взаимодействии с ЕС, в частности по 3 ключевым направлениям: экономическое, ку</w:t>
      </w:r>
      <w:r>
        <w:t>льтурно-образовательное и политическое. ЕС готов углублять взаимодействие с Арменией на представленных в проекте соглашения началах. 4 сентября Армения получает сигнал от РФ о желательном изменении курса и более тесной интеграции в ЕАЭС. РФ обещает, что от</w:t>
      </w:r>
      <w:r>
        <w:t>каз от соглашения с ЕС будет компенсирован военно-политическим содействием Армении и минимизирует те издержки, которые возникнут после отказа от подписания соглашения с ЕС. Армения стоит перед выбором. От участников игры зависит, каким будет внешнеполитиче</w:t>
      </w:r>
      <w:r>
        <w:t>ский курс Армении в ближайшие несколько лет.</w:t>
      </w:r>
    </w:p>
    <w:p w:rsidR="00385797" w:rsidRDefault="00E26CC8">
      <w:pPr>
        <w:spacing w:before="240" w:after="240"/>
        <w:jc w:val="both"/>
      </w:pPr>
      <w:r>
        <w:t>Экономическая плоскость:</w:t>
      </w:r>
    </w:p>
    <w:tbl>
      <w:tblPr>
        <w:tblStyle w:val="a5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3498"/>
        <w:gridCol w:w="3689"/>
      </w:tblGrid>
      <w:tr w:rsidR="00385797">
        <w:trPr>
          <w:trHeight w:val="51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</w:t>
            </w:r>
          </w:p>
        </w:tc>
        <w:tc>
          <w:tcPr>
            <w:tcW w:w="3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ЕС</w:t>
            </w:r>
          </w:p>
        </w:tc>
        <w:tc>
          <w:tcPr>
            <w:tcW w:w="3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Россия +ЕАЭС</w:t>
            </w:r>
          </w:p>
        </w:tc>
      </w:tr>
      <w:tr w:rsidR="00385797">
        <w:trPr>
          <w:trHeight w:val="1365"/>
        </w:trPr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proofErr w:type="spellStart"/>
            <w:r>
              <w:t>Мецаморская</w:t>
            </w:r>
            <w:proofErr w:type="spellEnd"/>
            <w:r>
              <w:t xml:space="preserve"> АЭС</w:t>
            </w:r>
          </w:p>
        </w:tc>
        <w:tc>
          <w:tcPr>
            <w:tcW w:w="3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Убедить европейских экспертов в необходимости сохранения атомной электростанции - 10 баллов</w:t>
            </w:r>
          </w:p>
        </w:tc>
        <w:tc>
          <w:tcPr>
            <w:tcW w:w="36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Убедить Россию предоставить финансовую и экспертную помощь для модернизации и продления сроков эксплуатации атомной электростанции - 10 баллов</w:t>
            </w:r>
          </w:p>
        </w:tc>
      </w:tr>
      <w:tr w:rsidR="00385797">
        <w:trPr>
          <w:trHeight w:val="2805"/>
        </w:trPr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Тарифная политика</w:t>
            </w:r>
          </w:p>
        </w:tc>
        <w:tc>
          <w:tcPr>
            <w:tcW w:w="3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Отстоять возможность экспорта в ЕС товаров по спец ставке в рамках программ REX </w:t>
            </w:r>
            <w:r>
              <w:rPr>
                <w:rFonts w:ascii="Malgun Gothic" w:eastAsia="Malgun Gothic" w:hAnsi="Malgun Gothic" w:cs="Malgun Gothic"/>
              </w:rPr>
              <w:t>и</w:t>
            </w:r>
            <w:r>
              <w:t xml:space="preserve"> GSP+. (Товары, подлежащие к экспорту, в основном включают сельскохозяйственную продукцию). Договориться о создании ЗСТ с ЕС - 3 балла</w:t>
            </w:r>
          </w:p>
        </w:tc>
        <w:tc>
          <w:tcPr>
            <w:tcW w:w="36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Получить возможность беспошлинной торговли с государствами-членами ЕАЭС, создать ЗСТ на границе с Ираном. При вступлении </w:t>
            </w:r>
            <w:r>
              <w:t>в ЕАЭС сохранить средневзвешенный тариф на уровне 2,6%, что определено условиями членства Армении в ВТО - 3 балла</w:t>
            </w:r>
          </w:p>
        </w:tc>
      </w:tr>
      <w:tr w:rsidR="00385797">
        <w:trPr>
          <w:trHeight w:val="2805"/>
        </w:trPr>
        <w:tc>
          <w:tcPr>
            <w:tcW w:w="1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lastRenderedPageBreak/>
              <w:t>Бюджетная поддержка</w:t>
            </w:r>
          </w:p>
        </w:tc>
        <w:tc>
          <w:tcPr>
            <w:tcW w:w="34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Продолжить получать многоцелевой пакет бюджетной поддержки в рамках инструмента Европейского соседства, продолжить участв</w:t>
            </w:r>
            <w:r>
              <w:t>овать в программе Трансграничного сотрудничества со странами Восточного партнёрства - 10 баллов</w:t>
            </w:r>
          </w:p>
        </w:tc>
        <w:tc>
          <w:tcPr>
            <w:tcW w:w="36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Стать полноправным членом ЕАЭС. Получить безвозмездную финансовую помощь на адаптацию к требованиям участия в рынке ЕАЭС - 10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Политическая плоскость:</w:t>
      </w:r>
    </w:p>
    <w:tbl>
      <w:tblPr>
        <w:tblStyle w:val="a6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8"/>
        <w:gridCol w:w="3448"/>
        <w:gridCol w:w="3419"/>
      </w:tblGrid>
      <w:tr w:rsidR="00385797">
        <w:trPr>
          <w:trHeight w:val="510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</w:t>
            </w:r>
          </w:p>
        </w:tc>
        <w:tc>
          <w:tcPr>
            <w:tcW w:w="3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ЕС</w:t>
            </w:r>
          </w:p>
        </w:tc>
        <w:tc>
          <w:tcPr>
            <w:tcW w:w="3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Россия и ЕАЭС</w:t>
            </w:r>
          </w:p>
        </w:tc>
      </w:tr>
      <w:tr w:rsidR="00385797">
        <w:trPr>
          <w:trHeight w:val="1935"/>
        </w:trPr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Вопросы трудовой миграции</w:t>
            </w:r>
          </w:p>
        </w:tc>
        <w:tc>
          <w:tcPr>
            <w:tcW w:w="3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Отмена визового режима - 5 баллов</w:t>
            </w:r>
          </w:p>
        </w:tc>
        <w:tc>
          <w:tcPr>
            <w:tcW w:w="34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Формирование единого рынка труда - 10 баллов</w:t>
            </w:r>
          </w:p>
        </w:tc>
      </w:tr>
      <w:tr w:rsidR="00385797">
        <w:trPr>
          <w:trHeight w:val="1935"/>
        </w:trPr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Демократические реформы</w:t>
            </w:r>
          </w:p>
        </w:tc>
        <w:tc>
          <w:tcPr>
            <w:tcW w:w="3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Получить безвозмездную финансовую помощь на демократические реформы в размере 1,5 млрд евро - 10 баллов</w:t>
            </w:r>
          </w:p>
        </w:tc>
        <w:tc>
          <w:tcPr>
            <w:tcW w:w="34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</w:t>
            </w:r>
          </w:p>
        </w:tc>
      </w:tr>
      <w:tr w:rsidR="00385797">
        <w:trPr>
          <w:trHeight w:val="2235"/>
        </w:trPr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Военные вопросы</w:t>
            </w:r>
          </w:p>
        </w:tc>
        <w:tc>
          <w:tcPr>
            <w:tcW w:w="3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</w:t>
            </w:r>
          </w:p>
        </w:tc>
        <w:tc>
          <w:tcPr>
            <w:tcW w:w="34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Продлить срок действия 102 военной базы в городе </w:t>
            </w:r>
            <w:proofErr w:type="spellStart"/>
            <w:r>
              <w:t>Гюмри</w:t>
            </w:r>
            <w:proofErr w:type="spellEnd"/>
            <w:r>
              <w:t xml:space="preserve"> до конца ХХI века, обеспечить присутствие российского военного контингента на южной и юго-восточной границе Республики Армения - 10 баллов</w:t>
            </w:r>
          </w:p>
        </w:tc>
      </w:tr>
      <w:tr w:rsidR="00385797">
        <w:trPr>
          <w:trHeight w:val="1665"/>
        </w:trPr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lastRenderedPageBreak/>
              <w:t>Признание территорий</w:t>
            </w:r>
          </w:p>
        </w:tc>
        <w:tc>
          <w:tcPr>
            <w:tcW w:w="3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Признание Нагорного Карабаха в качестве независимого государства и полноправного актора международных отношений - 20 баллов</w:t>
            </w:r>
          </w:p>
        </w:tc>
        <w:tc>
          <w:tcPr>
            <w:tcW w:w="34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Признание Нагорного Карабаха в качестве независимого государства и полноправного актора международных отношений - 20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Культ</w:t>
      </w:r>
      <w:r>
        <w:t>урно-образовательная плоскость:</w:t>
      </w:r>
    </w:p>
    <w:tbl>
      <w:tblPr>
        <w:tblStyle w:val="a7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2"/>
        <w:gridCol w:w="3434"/>
        <w:gridCol w:w="3419"/>
      </w:tblGrid>
      <w:tr w:rsidR="00385797">
        <w:trPr>
          <w:trHeight w:val="510"/>
        </w:trPr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</w:t>
            </w:r>
          </w:p>
        </w:tc>
        <w:tc>
          <w:tcPr>
            <w:tcW w:w="3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ЕС</w:t>
            </w:r>
          </w:p>
        </w:tc>
        <w:tc>
          <w:tcPr>
            <w:tcW w:w="34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Россия и ЕАЭС</w:t>
            </w:r>
          </w:p>
        </w:tc>
      </w:tr>
      <w:tr w:rsidR="00385797">
        <w:trPr>
          <w:trHeight w:val="2190"/>
        </w:trPr>
        <w:tc>
          <w:tcPr>
            <w:tcW w:w="2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Образовательное сотрудничество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spacing w:after="240"/>
              <w:ind w:left="-100"/>
              <w:jc w:val="both"/>
            </w:pPr>
            <w:r>
              <w:t>Признание государствами-членами ЕС дипломов о высшем образовании армянского образца.</w:t>
            </w:r>
          </w:p>
          <w:p w:rsidR="00385797" w:rsidRDefault="00E26CC8">
            <w:pPr>
              <w:spacing w:before="240"/>
              <w:ind w:left="-100"/>
              <w:jc w:val="both"/>
            </w:pPr>
            <w:r>
              <w:t xml:space="preserve">Продление соглашения </w:t>
            </w:r>
            <w:proofErr w:type="spellStart"/>
            <w:r>
              <w:t>Эразмус</w:t>
            </w:r>
            <w:proofErr w:type="spellEnd"/>
            <w:r>
              <w:t>+ - 10 баллов</w:t>
            </w:r>
          </w:p>
        </w:tc>
        <w:tc>
          <w:tcPr>
            <w:tcW w:w="34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spacing w:after="240"/>
              <w:ind w:left="-100"/>
              <w:jc w:val="both"/>
            </w:pPr>
            <w:r>
              <w:t xml:space="preserve"> </w:t>
            </w:r>
          </w:p>
          <w:p w:rsidR="00385797" w:rsidRDefault="00E26CC8">
            <w:pPr>
              <w:spacing w:before="240"/>
              <w:ind w:left="-100"/>
              <w:jc w:val="both"/>
            </w:pPr>
            <w:r>
              <w:t>Увеличение количества бюджетных ассигнаций на обучение в российских вузах для студентов из Армении - 5 баллов</w:t>
            </w:r>
          </w:p>
        </w:tc>
      </w:tr>
      <w:tr w:rsidR="00385797">
        <w:trPr>
          <w:trHeight w:val="1950"/>
        </w:trPr>
        <w:tc>
          <w:tcPr>
            <w:tcW w:w="2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Культурное сотрудничество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Получение финансовой помощи на сохранение историко-культурного наследия. Поддержка креативных индустрий - 6 баллов</w:t>
            </w:r>
          </w:p>
        </w:tc>
        <w:tc>
          <w:tcPr>
            <w:tcW w:w="34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Получение финансовой помощи на сохранение историко-культурного наследия. Поддержка традиционных культурно-исторических объектов - 6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385797"/>
    <w:p w:rsidR="00385797" w:rsidRDefault="00E26CC8">
      <w:pPr>
        <w:spacing w:before="240" w:after="240"/>
      </w:pPr>
      <w:r>
        <w:t xml:space="preserve"> </w:t>
      </w: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E26CC8">
      <w:pPr>
        <w:spacing w:before="240" w:after="240"/>
        <w:jc w:val="both"/>
        <w:rPr>
          <w:b/>
        </w:rPr>
      </w:pPr>
      <w:r>
        <w:rPr>
          <w:b/>
        </w:rPr>
        <w:lastRenderedPageBreak/>
        <w:t>Техническое задание для делегатов.</w:t>
      </w:r>
    </w:p>
    <w:p w:rsidR="00385797" w:rsidRDefault="00E26CC8">
      <w:pPr>
        <w:spacing w:before="240" w:after="240"/>
        <w:jc w:val="both"/>
      </w:pPr>
      <w:r>
        <w:t>ЕС</w:t>
      </w:r>
    </w:p>
    <w:p w:rsidR="00385797" w:rsidRDefault="00E26CC8">
      <w:pPr>
        <w:spacing w:before="240" w:after="240"/>
        <w:jc w:val="both"/>
      </w:pPr>
      <w:r>
        <w:t>ЕС стремится укрепить отношения с Арменией и вывести их на качественно новый уровень в рамках программы Восточного партнерства. ЕС считает, что Армении необходимо в первую очередь ориентироваться на те требования, которые он выдвигает к южно-кавказской рес</w:t>
      </w:r>
      <w:r>
        <w:t>публике и которые являются обязательными для реализации полноценных партнерских отношений. Учитывая увеличивающиеся напряжение в отношениях между ЕС и Россией, ЕС стремится укрепить кольцо стран, лояльных его геополитической линии. В этом смысле Армения яв</w:t>
      </w:r>
      <w:r>
        <w:t>ляется ключевым партнером, поддержка реформ в которой должна стать важной вехой в демократизации страны.</w:t>
      </w:r>
    </w:p>
    <w:p w:rsidR="00385797" w:rsidRDefault="00E26CC8">
      <w:pPr>
        <w:spacing w:before="240" w:after="240"/>
        <w:jc w:val="both"/>
      </w:pPr>
      <w:r>
        <w:t>Экономическая плоскость:</w:t>
      </w:r>
    </w:p>
    <w:tbl>
      <w:tblPr>
        <w:tblStyle w:val="a8"/>
        <w:tblW w:w="7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250"/>
      </w:tblGrid>
      <w:tr w:rsidR="00385797">
        <w:trPr>
          <w:trHeight w:val="79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Торговля</w:t>
            </w:r>
          </w:p>
        </w:tc>
        <w:tc>
          <w:tcPr>
            <w:tcW w:w="5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Создание ЗСТ в случае, если Армения не вступит в соглашение по ЕАЭС - 5 баллов</w:t>
            </w:r>
          </w:p>
        </w:tc>
      </w:tr>
      <w:tr w:rsidR="00385797">
        <w:trPr>
          <w:trHeight w:val="1080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 Стандартизация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Признание стандартов </w:t>
            </w:r>
            <w:proofErr w:type="gramStart"/>
            <w:r>
              <w:t>и  технических</w:t>
            </w:r>
            <w:proofErr w:type="gramEnd"/>
            <w:r>
              <w:t xml:space="preserve"> требований ЕС, в том числе в вопросах статистического учета, требований маркировки и фитосанитарных стандартов - 20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Политическая плоскость</w:t>
      </w:r>
    </w:p>
    <w:tbl>
      <w:tblPr>
        <w:tblStyle w:val="a9"/>
        <w:tblW w:w="7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250"/>
      </w:tblGrid>
      <w:tr w:rsidR="00385797">
        <w:trPr>
          <w:trHeight w:val="108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Укрепление демократических реформ Армении</w:t>
            </w:r>
          </w:p>
        </w:tc>
        <w:tc>
          <w:tcPr>
            <w:tcW w:w="5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Обеспечение смены формы правления с президентской на парламентскую, широкая реформа институтов - 15 баллов</w:t>
            </w:r>
          </w:p>
        </w:tc>
      </w:tr>
      <w:tr w:rsidR="00385797">
        <w:trPr>
          <w:trHeight w:val="1215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Нагорно-Карабахский конфликт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Введение миротворцев ЕС в зону Карабахского конфликта - 20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Культурно-образовательная плоскость</w:t>
      </w:r>
    </w:p>
    <w:tbl>
      <w:tblPr>
        <w:tblStyle w:val="aa"/>
        <w:tblW w:w="76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250"/>
      </w:tblGrid>
      <w:tr w:rsidR="00385797">
        <w:trPr>
          <w:trHeight w:val="79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lastRenderedPageBreak/>
              <w:t>Принципы толерантности</w:t>
            </w:r>
          </w:p>
        </w:tc>
        <w:tc>
          <w:tcPr>
            <w:tcW w:w="5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Продвижение европейских принципов толерантности к представителям ЛГБТИ - 10 баллов</w:t>
            </w:r>
          </w:p>
        </w:tc>
      </w:tr>
      <w:tr w:rsidR="00385797">
        <w:trPr>
          <w:trHeight w:val="1665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Формирование положительного образа ЕС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Проведение культурно-образовательных мероприятий и программ (фильмы, культурные фестивали, концерты), нацеленны</w:t>
            </w:r>
            <w:r>
              <w:t>х на укрепление положительного образа ЕС в Армении - 5 баллов</w:t>
            </w:r>
          </w:p>
        </w:tc>
      </w:tr>
      <w:tr w:rsidR="00385797">
        <w:trPr>
          <w:trHeight w:val="1665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Образование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Проведение реформ в сфере образования в соответствии с европейской повесткой с ориентацией на формирование кадрового потенциала для проведения реформы политических институтов в Армении - 10 баллов</w:t>
            </w:r>
          </w:p>
        </w:tc>
      </w:tr>
      <w:tr w:rsidR="00385797">
        <w:trPr>
          <w:trHeight w:val="795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Научные исследования</w:t>
            </w:r>
          </w:p>
        </w:tc>
        <w:tc>
          <w:tcPr>
            <w:tcW w:w="52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Обеспечение транспарентности результа</w:t>
            </w:r>
            <w:r>
              <w:t>тов научных исследований - 15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385797"/>
    <w:p w:rsidR="00385797" w:rsidRDefault="00E26CC8">
      <w:pPr>
        <w:spacing w:before="240" w:after="240"/>
      </w:pPr>
      <w:r>
        <w:t xml:space="preserve"> </w:t>
      </w: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385797">
      <w:pPr>
        <w:spacing w:before="240" w:after="240"/>
        <w:jc w:val="both"/>
      </w:pPr>
    </w:p>
    <w:p w:rsidR="00385797" w:rsidRDefault="00E26CC8">
      <w:pPr>
        <w:spacing w:before="240" w:after="240"/>
        <w:jc w:val="both"/>
      </w:pPr>
      <w:r>
        <w:rPr>
          <w:b/>
        </w:rPr>
        <w:lastRenderedPageBreak/>
        <w:t>Техническое задание для делегатов.</w:t>
      </w:r>
    </w:p>
    <w:p w:rsidR="00385797" w:rsidRDefault="00E26CC8">
      <w:pPr>
        <w:spacing w:before="240" w:after="240"/>
        <w:jc w:val="both"/>
      </w:pPr>
      <w:r>
        <w:t>Россия и ЕАЭС</w:t>
      </w:r>
    </w:p>
    <w:p w:rsidR="00385797" w:rsidRDefault="00E26CC8">
      <w:pPr>
        <w:spacing w:before="240" w:after="240"/>
        <w:jc w:val="both"/>
      </w:pPr>
      <w:r>
        <w:t>Россия стремится укрепить отношения с Арменией, вывести их на качественно новый уровень и выступает противником вступления Армении в ЗСТ с ЕС.  РФ хочет укрепить свое военное присутствие в Армении посредством сохранения военной базы, но разделения затрат н</w:t>
      </w:r>
      <w:r>
        <w:t>а ее содержания с армянской стороной. РФ видит в Армении надежного сотрудника на южном Кавказе, но считает, что Армения должна быть более лояльной как к РФ, так и к ЕАЭС.</w:t>
      </w:r>
    </w:p>
    <w:p w:rsidR="00385797" w:rsidRDefault="00E26CC8">
      <w:pPr>
        <w:spacing w:before="240" w:after="240"/>
        <w:jc w:val="both"/>
      </w:pPr>
      <w:r>
        <w:t>ЕАЭС хотел бы видеть Армению в числе своих членов и всячески развивать сотрудничество</w:t>
      </w:r>
      <w:r>
        <w:t xml:space="preserve"> в рамках Союза, включая Таможенный союз и Единый рынок на общих условиях.</w:t>
      </w:r>
    </w:p>
    <w:p w:rsidR="00385797" w:rsidRDefault="00E26CC8">
      <w:pPr>
        <w:spacing w:before="240" w:after="240"/>
        <w:jc w:val="both"/>
      </w:pPr>
      <w:r>
        <w:t>Экономическая плоскость</w:t>
      </w:r>
    </w:p>
    <w:tbl>
      <w:tblPr>
        <w:tblStyle w:val="ab"/>
        <w:tblW w:w="75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130"/>
      </w:tblGrid>
      <w:tr w:rsidR="00385797">
        <w:trPr>
          <w:trHeight w:val="79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ЗСТ с ЕС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Не допустить заключения соглашения о ЗСТ Армении с ЕС - 15 баллов</w:t>
            </w:r>
          </w:p>
        </w:tc>
      </w:tr>
      <w:tr w:rsidR="00385797">
        <w:trPr>
          <w:trHeight w:val="1080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Армянская АЭС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Продление срока эксплуатации Армянской АЭС с участием специалистов </w:t>
            </w:r>
            <w:proofErr w:type="spellStart"/>
            <w:r>
              <w:t>Росатома</w:t>
            </w:r>
            <w:proofErr w:type="spellEnd"/>
            <w:r>
              <w:t xml:space="preserve"> и строительство еще одного энергоблока - 5 баллов</w:t>
            </w:r>
          </w:p>
        </w:tc>
      </w:tr>
      <w:tr w:rsidR="00385797">
        <w:trPr>
          <w:trHeight w:val="1080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Участие в ЕАЭС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Повысить средневзвешенный таможенный тариф до показателя 7,6 (принят в ЗСТ ЕАЭС) - 5 баллов 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Политическая плоскость</w:t>
      </w:r>
    </w:p>
    <w:tbl>
      <w:tblPr>
        <w:tblStyle w:val="ac"/>
        <w:tblW w:w="75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130"/>
      </w:tblGrid>
      <w:tr w:rsidR="00385797">
        <w:trPr>
          <w:trHeight w:val="10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Военная база в Армении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 xml:space="preserve">Компенсация армянской стороной расходов на содержание </w:t>
            </w:r>
            <w:proofErr w:type="spellStart"/>
            <w:r>
              <w:t>содержание</w:t>
            </w:r>
            <w:proofErr w:type="spellEnd"/>
            <w:r>
              <w:t xml:space="preserve"> российской 102 военной базы в Армении - 20 баллов</w:t>
            </w:r>
          </w:p>
        </w:tc>
      </w:tr>
      <w:tr w:rsidR="00385797">
        <w:trPr>
          <w:trHeight w:val="1950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Укрепление сотрудничества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Укрепление российско-армянского межпарламентского и межправительстве</w:t>
            </w:r>
            <w:r>
              <w:t>нного сотрудничества, формирование консолидированной повестки представительств обеих стран на международных площадках Пасе - 15 баллов</w:t>
            </w:r>
          </w:p>
        </w:tc>
      </w:tr>
      <w:tr w:rsidR="00385797">
        <w:trPr>
          <w:trHeight w:val="1080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lastRenderedPageBreak/>
              <w:t>Признание территорий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Признание руководством Армении Южной Осетии и Абхазии в качестве независимых государств - 15 баллов</w:t>
            </w:r>
          </w:p>
        </w:tc>
      </w:tr>
      <w:tr w:rsidR="00385797">
        <w:trPr>
          <w:trHeight w:val="795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Ассоциации вне ЕАЭС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Отказ Армении от политического компонента ассоциации с ЕС - 20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Культурно-образовательная плоскость</w:t>
      </w:r>
    </w:p>
    <w:tbl>
      <w:tblPr>
        <w:tblStyle w:val="ad"/>
        <w:tblW w:w="75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130"/>
      </w:tblGrid>
      <w:tr w:rsidR="00385797">
        <w:trPr>
          <w:trHeight w:val="795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Русскоязычный контент в СМИ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Увеличение русскоязычного контента в программах телеканалов и СМИ Армении - 3 балла</w:t>
            </w:r>
          </w:p>
        </w:tc>
      </w:tr>
      <w:tr w:rsidR="00385797">
        <w:trPr>
          <w:trHeight w:val="795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proofErr w:type="spellStart"/>
            <w:r>
              <w:t>Россотрудничество</w:t>
            </w:r>
            <w:proofErr w:type="spellEnd"/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Укрепление позиций фонда “Русский мир” и “</w:t>
            </w:r>
            <w:proofErr w:type="spellStart"/>
            <w:r>
              <w:t>Россотрудничества</w:t>
            </w:r>
            <w:proofErr w:type="spellEnd"/>
            <w:r>
              <w:t>” в Армении - 1 балл</w:t>
            </w:r>
          </w:p>
        </w:tc>
      </w:tr>
      <w:tr w:rsidR="00385797">
        <w:trPr>
          <w:trHeight w:val="795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Образование на русском языке, преподавание русского языка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97" w:rsidRDefault="00E26CC8">
            <w:pPr>
              <w:ind w:left="-100"/>
              <w:jc w:val="both"/>
            </w:pPr>
            <w:r>
              <w:t>Расширение преподавания русского языка в армянских школах; создание сети русскоязычных школ - 5 баллов</w:t>
            </w:r>
          </w:p>
        </w:tc>
      </w:tr>
    </w:tbl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385797"/>
    <w:p w:rsidR="00385797" w:rsidRDefault="00E26CC8">
      <w:pPr>
        <w:spacing w:before="240" w:after="240"/>
      </w:pPr>
      <w:r>
        <w:t xml:space="preserve"> </w:t>
      </w:r>
    </w:p>
    <w:p w:rsidR="00385797" w:rsidRDefault="00385797">
      <w:pPr>
        <w:spacing w:before="240" w:after="240"/>
      </w:pPr>
    </w:p>
    <w:p w:rsidR="00385797" w:rsidRDefault="00385797">
      <w:pPr>
        <w:spacing w:before="240" w:after="240"/>
      </w:pPr>
    </w:p>
    <w:p w:rsidR="00385797" w:rsidRDefault="00385797">
      <w:pPr>
        <w:spacing w:before="240" w:after="240"/>
        <w:jc w:val="right"/>
      </w:pPr>
    </w:p>
    <w:p w:rsidR="00385797" w:rsidRDefault="00385797">
      <w:pPr>
        <w:spacing w:before="240" w:after="240"/>
        <w:jc w:val="right"/>
      </w:pPr>
    </w:p>
    <w:p w:rsidR="00385797" w:rsidRDefault="00385797">
      <w:pPr>
        <w:spacing w:before="240" w:after="240"/>
        <w:jc w:val="right"/>
      </w:pPr>
    </w:p>
    <w:p w:rsidR="00385797" w:rsidRDefault="00385797">
      <w:pPr>
        <w:spacing w:before="240" w:after="240"/>
        <w:jc w:val="right"/>
      </w:pPr>
    </w:p>
    <w:p w:rsidR="00385797" w:rsidRDefault="00385797">
      <w:pPr>
        <w:spacing w:before="240" w:after="240"/>
        <w:jc w:val="right"/>
      </w:pPr>
    </w:p>
    <w:p w:rsidR="00385797" w:rsidRDefault="00385797">
      <w:pPr>
        <w:spacing w:before="240" w:after="240"/>
      </w:pPr>
    </w:p>
    <w:p w:rsidR="00385797" w:rsidRDefault="00E26CC8">
      <w:pPr>
        <w:spacing w:before="240" w:after="240"/>
        <w:jc w:val="right"/>
      </w:pPr>
      <w:r>
        <w:lastRenderedPageBreak/>
        <w:t>Приложение №2</w:t>
      </w:r>
    </w:p>
    <w:p w:rsidR="00385797" w:rsidRDefault="00E26CC8">
      <w:pPr>
        <w:spacing w:before="240" w:after="240"/>
        <w:jc w:val="both"/>
      </w:pPr>
      <w:r>
        <w:t xml:space="preserve">Дополнительный материал к </w:t>
      </w:r>
      <w:proofErr w:type="spellStart"/>
      <w:r>
        <w:t>техзаданию</w:t>
      </w:r>
      <w:proofErr w:type="spellEnd"/>
      <w:r>
        <w:t xml:space="preserve"> для делегации ЕС (выдается перед началом Этапа 2).</w:t>
      </w:r>
    </w:p>
    <w:p w:rsidR="00385797" w:rsidRDefault="00E26CC8">
      <w:pPr>
        <w:spacing w:before="240" w:after="240"/>
        <w:jc w:val="both"/>
      </w:pPr>
      <w:r>
        <w:t xml:space="preserve">Европейский союз принял решение о неприемлемости для него одновременного участия Армении в программе Восточное партнерство и наличия на ее территории военной базы Российской Федерации. </w:t>
      </w:r>
    </w:p>
    <w:p w:rsidR="00385797" w:rsidRDefault="00E26CC8">
      <w:pPr>
        <w:spacing w:before="240" w:after="240"/>
        <w:jc w:val="both"/>
      </w:pPr>
      <w:r>
        <w:t xml:space="preserve">Европейский Совет рекомендует пригласить делегацию Армении в Брюссель </w:t>
      </w:r>
      <w:r>
        <w:t>для дополнительных консультаций по этому вопросу.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t xml:space="preserve"> </w:t>
      </w:r>
    </w:p>
    <w:p w:rsidR="00385797" w:rsidRDefault="00E26CC8">
      <w:pPr>
        <w:spacing w:before="240" w:after="240"/>
        <w:jc w:val="right"/>
      </w:pPr>
      <w:r>
        <w:lastRenderedPageBreak/>
        <w:t>Приложение №3</w:t>
      </w:r>
    </w:p>
    <w:p w:rsidR="00385797" w:rsidRDefault="00E26CC8">
      <w:pPr>
        <w:spacing w:before="240" w:after="240"/>
        <w:jc w:val="both"/>
      </w:pPr>
      <w:r>
        <w:t>Форма соглашения</w:t>
      </w:r>
    </w:p>
    <w:p w:rsidR="00385797" w:rsidRDefault="00E26CC8">
      <w:pPr>
        <w:spacing w:before="240" w:after="240"/>
        <w:jc w:val="both"/>
      </w:pPr>
      <w:r>
        <w:t>Соглашение между __________________ и ___________________________ от ______</w:t>
      </w:r>
    </w:p>
    <w:p w:rsidR="00385797" w:rsidRDefault="00E26CC8">
      <w:pPr>
        <w:spacing w:before="240" w:after="240"/>
        <w:jc w:val="both"/>
      </w:pPr>
      <w:r>
        <w:t>Стороны договорились о нижеследующем:</w:t>
      </w:r>
    </w:p>
    <w:p w:rsidR="00385797" w:rsidRDefault="00E26CC8">
      <w:pPr>
        <w:spacing w:before="240" w:after="240"/>
        <w:jc w:val="both"/>
      </w:pPr>
      <w:r>
        <w:t>Общие положения: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Политическое сотрудничество: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Экономическое сотрудничество: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Культурно-образовательное сотрудничество: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>Подписи сторон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385797" w:rsidRDefault="00E26CC8">
      <w:pPr>
        <w:spacing w:before="240" w:after="240"/>
      </w:pPr>
      <w:r>
        <w:t xml:space="preserve"> </w:t>
      </w:r>
    </w:p>
    <w:p w:rsidR="00385797" w:rsidRDefault="00385797"/>
    <w:p w:rsidR="00385797" w:rsidRDefault="00E26CC8">
      <w:pPr>
        <w:spacing w:before="240" w:after="240"/>
      </w:pPr>
      <w:r>
        <w:t xml:space="preserve"> </w:t>
      </w:r>
    </w:p>
    <w:p w:rsidR="00385797" w:rsidRDefault="00385797">
      <w:pPr>
        <w:spacing w:before="240" w:after="240"/>
      </w:pPr>
    </w:p>
    <w:p w:rsidR="00385797" w:rsidRDefault="00385797">
      <w:pPr>
        <w:spacing w:before="240" w:after="240"/>
      </w:pPr>
    </w:p>
    <w:p w:rsidR="00385797" w:rsidRDefault="00E26CC8">
      <w:pPr>
        <w:spacing w:before="240" w:after="240"/>
        <w:jc w:val="right"/>
      </w:pPr>
      <w:r>
        <w:lastRenderedPageBreak/>
        <w:t>Приложение №4</w:t>
      </w:r>
    </w:p>
    <w:p w:rsidR="00385797" w:rsidRDefault="00E26CC8">
      <w:pPr>
        <w:spacing w:before="240" w:after="240"/>
        <w:jc w:val="both"/>
      </w:pPr>
      <w:r>
        <w:t>Список материалов для самостоятельной подготовки</w:t>
      </w:r>
    </w:p>
    <w:p w:rsidR="00385797" w:rsidRDefault="00E26CC8">
      <w:pPr>
        <w:spacing w:before="240" w:after="240"/>
        <w:jc w:val="both"/>
      </w:pPr>
      <w:r>
        <w:t>Договор о присоединении Республики Армения к Договору о Евразийском экономическом союзе от 29 мая 2014 года. - 10 октября. - 2014. - Режим доступа: https://docs.cntd.ru/document/420229250</w:t>
      </w:r>
    </w:p>
    <w:p w:rsidR="00385797" w:rsidRDefault="00E26CC8">
      <w:pPr>
        <w:spacing w:before="240" w:after="240"/>
        <w:jc w:val="both"/>
        <w:rPr>
          <w:color w:val="1155CC"/>
          <w:u w:val="single"/>
        </w:rPr>
      </w:pPr>
      <w:r>
        <w:t>Соглашение между Российской Федерацией и Республикой Армения об объе</w:t>
      </w:r>
      <w:r>
        <w:t>диненной группировке войск (сил) вооруженных сил Республики Армения и вооруженных сил Российской Федерации / Правовой департамент МИД / Перечень двусторонних международных договоров Российской Федерации. - 30 ноября. - 2016. - Режим доступа: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https://www.mi</w:t>
        </w:r>
        <w:r>
          <w:rPr>
            <w:color w:val="1155CC"/>
            <w:u w:val="single"/>
          </w:rPr>
          <w:t>d.ru/foreign_policy/international_contracts/2_contract/-/storage-viewer/bilateral/page-1/51760</w:t>
        </w:r>
      </w:hyperlink>
    </w:p>
    <w:p w:rsidR="00385797" w:rsidRDefault="00E26CC8">
      <w:pPr>
        <w:spacing w:before="240" w:after="240"/>
        <w:jc w:val="both"/>
        <w:rPr>
          <w:color w:val="1155CC"/>
          <w:u w:val="single"/>
        </w:rPr>
      </w:pPr>
      <w:r>
        <w:t>Соглашение между Правительством Российской Федерации и Правительством Республики Армения о сотрудничестве в сфере поставок природного газа, нефтепродуктов и необ</w:t>
      </w:r>
      <w:r>
        <w:t xml:space="preserve">работанных природных алмазов в Республику Армения. - 2 декабря. - 2013. - Режим </w:t>
      </w:r>
      <w:proofErr w:type="gramStart"/>
      <w:r>
        <w:t>доступа :</w:t>
      </w:r>
      <w:proofErr w:type="gramEnd"/>
      <w:r>
        <w:fldChar w:fldCharType="begin"/>
      </w:r>
      <w:r>
        <w:instrText xml:space="preserve"> HYPERLINK "https://docs.cntd.ru/document/499065741" \h </w:instrText>
      </w:r>
      <w:r>
        <w:fldChar w:fldCharType="separate"/>
      </w:r>
      <w:r>
        <w:t xml:space="preserve"> </w:t>
      </w:r>
      <w:r>
        <w:fldChar w:fldCharType="end"/>
      </w:r>
      <w:hyperlink r:id="rId8">
        <w:r>
          <w:rPr>
            <w:color w:val="1155CC"/>
            <w:u w:val="single"/>
          </w:rPr>
          <w:t>https://docs.cntd.ru/document/499065741</w:t>
        </w:r>
      </w:hyperlink>
    </w:p>
    <w:p w:rsidR="00385797" w:rsidRDefault="00E26CC8">
      <w:pPr>
        <w:spacing w:before="240" w:after="240"/>
        <w:jc w:val="both"/>
        <w:rPr>
          <w:color w:val="1155CC"/>
          <w:u w:val="single"/>
        </w:rPr>
      </w:pPr>
      <w:proofErr w:type="spellStart"/>
      <w:r>
        <w:t>Comprehe</w:t>
      </w:r>
      <w:r>
        <w:t>nsive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enhanced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Armenia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</w:t>
      </w:r>
      <w:proofErr w:type="spellEnd"/>
      <w:r>
        <w:t>. - 24 ноября. - 2017. - Режим доступа: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https://www.mfa.am/filemanager/eu/CEPA_ENG_1.pdf</w:t>
        </w:r>
      </w:hyperlink>
    </w:p>
    <w:p w:rsidR="00385797" w:rsidRDefault="00E26CC8">
      <w:pPr>
        <w:spacing w:before="240" w:after="240"/>
        <w:jc w:val="both"/>
      </w:pPr>
      <w:r>
        <w:t xml:space="preserve">Габриелян, А., Новая внешняя политика Армении: что изменил </w:t>
      </w:r>
      <w:proofErr w:type="spellStart"/>
      <w:r>
        <w:t>Пашинян</w:t>
      </w:r>
      <w:proofErr w:type="spellEnd"/>
      <w:r>
        <w:t xml:space="preserve"> / </w:t>
      </w:r>
      <w:proofErr w:type="spellStart"/>
      <w:r>
        <w:t>Акоп</w:t>
      </w:r>
      <w:proofErr w:type="spellEnd"/>
      <w:r>
        <w:t xml:space="preserve"> Габриелян // </w:t>
      </w:r>
      <w:proofErr w:type="spellStart"/>
      <w:r>
        <w:t>Евр</w:t>
      </w:r>
      <w:r>
        <w:t>азия.Эксперт</w:t>
      </w:r>
      <w:proofErr w:type="spellEnd"/>
      <w:r>
        <w:t xml:space="preserve">. - 18 декабря. - 2018. - Режим доступа: </w:t>
      </w:r>
      <w:hyperlink r:id="rId11">
        <w:r>
          <w:rPr>
            <w:color w:val="1155CC"/>
            <w:u w:val="single"/>
          </w:rPr>
          <w:t>https://eurasia.expert/novaya-vneshnyaya-politika-armenii-chto-izmenil-pashinyan/</w:t>
        </w:r>
      </w:hyperlink>
      <w:r>
        <w:t xml:space="preserve"> </w:t>
      </w:r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r>
        <w:t>Григорян, Г., Гуман</w:t>
      </w:r>
      <w:r>
        <w:t xml:space="preserve">итарное измерение армяно-российских отношений // </w:t>
      </w:r>
      <w:r>
        <w:rPr>
          <w:color w:val="212529"/>
          <w:sz w:val="24"/>
          <w:szCs w:val="24"/>
          <w:highlight w:val="white"/>
        </w:rPr>
        <w:t>Россия и новые государства Евразии. - 2018. № 1. С. 82-105. - Режим доступа:</w:t>
      </w:r>
      <w:hyperlink r:id="rId12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13">
        <w:r>
          <w:rPr>
            <w:color w:val="1155CC"/>
            <w:sz w:val="24"/>
            <w:szCs w:val="24"/>
            <w:highlight w:val="white"/>
            <w:u w:val="single"/>
          </w:rPr>
          <w:t>https://www.imemo.ru/files/File/magazines/rossia_i_novay/2018_01/Grigoryan_82-105.pdf</w:t>
        </w:r>
      </w:hyperlink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r>
        <w:rPr>
          <w:color w:val="212529"/>
          <w:sz w:val="24"/>
          <w:szCs w:val="24"/>
          <w:highlight w:val="white"/>
        </w:rPr>
        <w:t>Торгово-экономическое сотрудничество // Посольство Российской Федерации в Республики Армен</w:t>
      </w:r>
      <w:r>
        <w:rPr>
          <w:color w:val="212529"/>
          <w:sz w:val="24"/>
          <w:szCs w:val="24"/>
          <w:highlight w:val="white"/>
        </w:rPr>
        <w:t>ия. - 2021. - Режим доступа:</w:t>
      </w:r>
      <w:hyperlink r:id="rId14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color w:val="1155CC"/>
            <w:sz w:val="24"/>
            <w:szCs w:val="24"/>
            <w:highlight w:val="white"/>
            <w:u w:val="single"/>
          </w:rPr>
          <w:t>https://armenia.mid.r</w:t>
        </w:r>
        <w:r>
          <w:rPr>
            <w:color w:val="1155CC"/>
            <w:sz w:val="24"/>
            <w:szCs w:val="24"/>
            <w:highlight w:val="white"/>
            <w:u w:val="single"/>
          </w:rPr>
          <w:t>u/ru/countries/bilateral-relations/trade-economic-cooperation/</w:t>
        </w:r>
      </w:hyperlink>
    </w:p>
    <w:p w:rsidR="00385797" w:rsidRDefault="00E26CC8">
      <w:pPr>
        <w:spacing w:before="240" w:after="240"/>
        <w:jc w:val="both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ТВЭЛ и Армянская АЭС договорились о поставках ядерного топлива / РИА Новости. - 24 декабря. - 2020. - Режим доступа: </w:t>
      </w:r>
      <w:hyperlink r:id="rId16">
        <w:r>
          <w:rPr>
            <w:color w:val="1155CC"/>
            <w:sz w:val="24"/>
            <w:szCs w:val="24"/>
            <w:highlight w:val="white"/>
            <w:u w:val="single"/>
          </w:rPr>
          <w:t>https://</w:t>
        </w:r>
        <w:r>
          <w:rPr>
            <w:color w:val="1155CC"/>
            <w:sz w:val="24"/>
            <w:szCs w:val="24"/>
            <w:highlight w:val="white"/>
            <w:u w:val="single"/>
          </w:rPr>
          <w:t>ria.ru/20201224/postavki-1590700436.html</w:t>
        </w:r>
      </w:hyperlink>
      <w:r>
        <w:rPr>
          <w:color w:val="212529"/>
          <w:sz w:val="24"/>
          <w:szCs w:val="24"/>
          <w:highlight w:val="white"/>
        </w:rPr>
        <w:t xml:space="preserve"> </w:t>
      </w:r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r>
        <w:t xml:space="preserve">Федоровская, И., Вступление Армении в ЕАЭС // </w:t>
      </w:r>
      <w:r>
        <w:rPr>
          <w:color w:val="212529"/>
          <w:sz w:val="24"/>
          <w:szCs w:val="24"/>
          <w:highlight w:val="white"/>
        </w:rPr>
        <w:t>Россия и новые государства Евразии. - 2015. № 2. С. 9-19. - Режим доступа:</w:t>
      </w:r>
      <w:hyperlink r:id="rId17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18">
        <w:r>
          <w:rPr>
            <w:color w:val="1155CC"/>
            <w:sz w:val="24"/>
            <w:szCs w:val="24"/>
            <w:highlight w:val="white"/>
            <w:u w:val="single"/>
          </w:rPr>
          <w:t>https://www.imemo.ru/files/File/m</w:t>
        </w:r>
        <w:r>
          <w:rPr>
            <w:color w:val="1155CC"/>
            <w:sz w:val="24"/>
            <w:szCs w:val="24"/>
            <w:highlight w:val="white"/>
            <w:u w:val="single"/>
          </w:rPr>
          <w:t>agazines/rossia_i_novay/2015_02/Vstuplenie_Fedorovskaya.pdf</w:t>
        </w:r>
      </w:hyperlink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color w:val="212529"/>
          <w:sz w:val="24"/>
          <w:szCs w:val="24"/>
          <w:highlight w:val="white"/>
        </w:rPr>
        <w:lastRenderedPageBreak/>
        <w:t>Armenia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and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EU // </w:t>
      </w:r>
      <w:proofErr w:type="spellStart"/>
      <w:r>
        <w:rPr>
          <w:color w:val="212529"/>
          <w:sz w:val="24"/>
          <w:szCs w:val="24"/>
          <w:highlight w:val="white"/>
        </w:rPr>
        <w:t>Delegation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of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European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Union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to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Armenia</w:t>
      </w:r>
      <w:proofErr w:type="spellEnd"/>
      <w:r>
        <w:rPr>
          <w:color w:val="212529"/>
          <w:sz w:val="24"/>
          <w:szCs w:val="24"/>
          <w:highlight w:val="white"/>
        </w:rPr>
        <w:t xml:space="preserve">. - 11 мая. - 2016. - Режим </w:t>
      </w:r>
      <w:proofErr w:type="gramStart"/>
      <w:r>
        <w:rPr>
          <w:color w:val="212529"/>
          <w:sz w:val="24"/>
          <w:szCs w:val="24"/>
          <w:highlight w:val="white"/>
        </w:rPr>
        <w:t xml:space="preserve">доступа: </w:t>
      </w:r>
      <w:hyperlink r:id="rId19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20">
        <w:r>
          <w:rPr>
            <w:color w:val="1155CC"/>
            <w:sz w:val="24"/>
            <w:szCs w:val="24"/>
            <w:highlight w:val="white"/>
            <w:u w:val="single"/>
          </w:rPr>
          <w:t>https://eeas.europa.eu/delegations/armenia_en/896/Armenia%20and%20the%20EU</w:t>
        </w:r>
        <w:proofErr w:type="gramEnd"/>
      </w:hyperlink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color w:val="212529"/>
          <w:sz w:val="24"/>
          <w:szCs w:val="24"/>
          <w:highlight w:val="white"/>
        </w:rPr>
        <w:t>Armenia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country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report</w:t>
      </w:r>
      <w:proofErr w:type="spellEnd"/>
      <w:r>
        <w:rPr>
          <w:color w:val="212529"/>
          <w:sz w:val="24"/>
          <w:szCs w:val="24"/>
          <w:highlight w:val="white"/>
        </w:rPr>
        <w:t xml:space="preserve"> / </w:t>
      </w:r>
      <w:proofErr w:type="spellStart"/>
      <w:r>
        <w:rPr>
          <w:color w:val="212529"/>
          <w:sz w:val="24"/>
          <w:szCs w:val="24"/>
          <w:highlight w:val="white"/>
        </w:rPr>
        <w:t>Culture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in</w:t>
      </w:r>
      <w:proofErr w:type="spellEnd"/>
      <w:r>
        <w:rPr>
          <w:color w:val="212529"/>
          <w:sz w:val="24"/>
          <w:szCs w:val="24"/>
          <w:highlight w:val="white"/>
        </w:rPr>
        <w:t xml:space="preserve"> EU </w:t>
      </w:r>
      <w:proofErr w:type="spellStart"/>
      <w:r>
        <w:rPr>
          <w:color w:val="212529"/>
          <w:sz w:val="24"/>
          <w:szCs w:val="24"/>
          <w:highlight w:val="white"/>
        </w:rPr>
        <w:t>external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color w:val="212529"/>
          <w:sz w:val="24"/>
          <w:szCs w:val="24"/>
          <w:highlight w:val="white"/>
        </w:rPr>
        <w:t>relations</w:t>
      </w:r>
      <w:proofErr w:type="spellEnd"/>
      <w:r>
        <w:rPr>
          <w:color w:val="212529"/>
          <w:sz w:val="24"/>
          <w:szCs w:val="24"/>
          <w:highlight w:val="white"/>
        </w:rPr>
        <w:t xml:space="preserve">  /</w:t>
      </w:r>
      <w:proofErr w:type="gramEnd"/>
      <w:r>
        <w:rPr>
          <w:color w:val="212529"/>
          <w:sz w:val="24"/>
          <w:szCs w:val="24"/>
          <w:highlight w:val="white"/>
        </w:rPr>
        <w:t xml:space="preserve">/ </w:t>
      </w:r>
      <w:proofErr w:type="spellStart"/>
      <w:r>
        <w:rPr>
          <w:color w:val="212529"/>
          <w:sz w:val="24"/>
          <w:szCs w:val="24"/>
          <w:highlight w:val="white"/>
        </w:rPr>
        <w:t>European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Commission</w:t>
      </w:r>
      <w:proofErr w:type="spellEnd"/>
      <w:r>
        <w:rPr>
          <w:color w:val="212529"/>
          <w:sz w:val="24"/>
          <w:szCs w:val="24"/>
          <w:highlight w:val="white"/>
        </w:rPr>
        <w:t>. - 4</w:t>
      </w:r>
      <w:r>
        <w:rPr>
          <w:color w:val="212529"/>
          <w:sz w:val="24"/>
          <w:szCs w:val="24"/>
          <w:highlight w:val="white"/>
        </w:rPr>
        <w:t xml:space="preserve"> апреля. - 2014. - Режим доступа:</w:t>
      </w:r>
      <w:hyperlink r:id="rId21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22">
        <w:r>
          <w:rPr>
            <w:color w:val="1155CC"/>
            <w:sz w:val="24"/>
            <w:szCs w:val="24"/>
            <w:highlight w:val="white"/>
            <w:u w:val="single"/>
          </w:rPr>
          <w:t>https://ec.europa.eu/assets/eac/culture/policy/international-cooperation/documents/country-reports/armenia_en.pdf</w:t>
        </w:r>
      </w:hyperlink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color w:val="212529"/>
          <w:sz w:val="24"/>
          <w:szCs w:val="24"/>
          <w:highlight w:val="white"/>
        </w:rPr>
        <w:t>Armenia’s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foreign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policy</w:t>
      </w:r>
      <w:proofErr w:type="spellEnd"/>
      <w:r>
        <w:rPr>
          <w:color w:val="212529"/>
          <w:sz w:val="24"/>
          <w:szCs w:val="24"/>
          <w:highlight w:val="white"/>
        </w:rPr>
        <w:t xml:space="preserve">: </w:t>
      </w:r>
      <w:proofErr w:type="spellStart"/>
      <w:r>
        <w:rPr>
          <w:color w:val="212529"/>
          <w:sz w:val="24"/>
          <w:szCs w:val="24"/>
          <w:highlight w:val="white"/>
        </w:rPr>
        <w:t>Balancing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in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an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age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of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uncertainty</w:t>
      </w:r>
      <w:proofErr w:type="spellEnd"/>
      <w:r>
        <w:rPr>
          <w:color w:val="212529"/>
          <w:sz w:val="24"/>
          <w:szCs w:val="24"/>
          <w:highlight w:val="white"/>
        </w:rPr>
        <w:t xml:space="preserve"> // </w:t>
      </w:r>
      <w:proofErr w:type="spellStart"/>
      <w:r>
        <w:rPr>
          <w:color w:val="212529"/>
          <w:sz w:val="24"/>
          <w:szCs w:val="24"/>
          <w:highlight w:val="white"/>
        </w:rPr>
        <w:t>Chatham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House</w:t>
      </w:r>
      <w:proofErr w:type="spellEnd"/>
      <w:r>
        <w:rPr>
          <w:color w:val="212529"/>
          <w:sz w:val="24"/>
          <w:szCs w:val="24"/>
          <w:highlight w:val="white"/>
        </w:rPr>
        <w:t>. - 14 марта. - 2019.</w:t>
      </w:r>
      <w:r>
        <w:rPr>
          <w:color w:val="212529"/>
          <w:sz w:val="24"/>
          <w:szCs w:val="24"/>
          <w:highlight w:val="white"/>
        </w:rPr>
        <w:t xml:space="preserve"> - Режим доступа:</w:t>
      </w:r>
      <w:hyperlink r:id="rId23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24">
        <w:r>
          <w:rPr>
            <w:color w:val="1155CC"/>
            <w:sz w:val="24"/>
            <w:szCs w:val="24"/>
            <w:highlight w:val="white"/>
            <w:u w:val="single"/>
          </w:rPr>
          <w:t>https://www.chathamhouse.o</w:t>
        </w:r>
        <w:r>
          <w:rPr>
            <w:color w:val="1155CC"/>
            <w:sz w:val="24"/>
            <w:szCs w:val="24"/>
            <w:highlight w:val="white"/>
            <w:u w:val="single"/>
          </w:rPr>
          <w:t>rg/2019/03/armenias-foreign-policy-balancing-age-uncertainty</w:t>
        </w:r>
      </w:hyperlink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color w:val="212529"/>
          <w:sz w:val="24"/>
          <w:szCs w:val="24"/>
          <w:highlight w:val="white"/>
        </w:rPr>
        <w:t>Joint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Declaration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of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Eastern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Partnership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Summit</w:t>
      </w:r>
      <w:proofErr w:type="spellEnd"/>
      <w:r>
        <w:rPr>
          <w:color w:val="212529"/>
          <w:sz w:val="24"/>
          <w:szCs w:val="24"/>
          <w:highlight w:val="white"/>
        </w:rPr>
        <w:t xml:space="preserve"> // </w:t>
      </w:r>
      <w:proofErr w:type="spellStart"/>
      <w:r>
        <w:rPr>
          <w:color w:val="212529"/>
          <w:sz w:val="24"/>
          <w:szCs w:val="24"/>
          <w:highlight w:val="white"/>
        </w:rPr>
        <w:t>Council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of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European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Union</w:t>
      </w:r>
      <w:proofErr w:type="spellEnd"/>
      <w:r>
        <w:rPr>
          <w:color w:val="212529"/>
          <w:sz w:val="24"/>
          <w:szCs w:val="24"/>
          <w:highlight w:val="white"/>
        </w:rPr>
        <w:t xml:space="preserve">. - 29 </w:t>
      </w:r>
      <w:proofErr w:type="gramStart"/>
      <w:r>
        <w:rPr>
          <w:color w:val="212529"/>
          <w:sz w:val="24"/>
          <w:szCs w:val="24"/>
          <w:highlight w:val="white"/>
        </w:rPr>
        <w:t>ноября.-</w:t>
      </w:r>
      <w:proofErr w:type="gramEnd"/>
      <w:r>
        <w:rPr>
          <w:color w:val="212529"/>
          <w:sz w:val="24"/>
          <w:szCs w:val="24"/>
          <w:highlight w:val="white"/>
        </w:rPr>
        <w:t xml:space="preserve"> 2013.- Режим доступа:</w:t>
      </w:r>
      <w:hyperlink r:id="rId25">
        <w:r>
          <w:rPr>
            <w:color w:val="212529"/>
            <w:sz w:val="24"/>
            <w:szCs w:val="24"/>
            <w:highlight w:val="white"/>
          </w:rPr>
          <w:t xml:space="preserve"> </w:t>
        </w:r>
      </w:hyperlink>
      <w:hyperlink r:id="rId26">
        <w:r>
          <w:rPr>
            <w:color w:val="1155CC"/>
            <w:sz w:val="24"/>
            <w:szCs w:val="24"/>
            <w:highlight w:val="white"/>
            <w:u w:val="single"/>
          </w:rPr>
          <w:t>https://www.consilium.europa.eu/uedocs/cms_Data/docs/pressdata/EN/foraff/139765.pdf</w:t>
        </w:r>
      </w:hyperlink>
    </w:p>
    <w:p w:rsidR="00385797" w:rsidRDefault="00E26CC8">
      <w:pPr>
        <w:spacing w:before="240" w:after="240"/>
        <w:jc w:val="both"/>
        <w:rPr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color w:val="212529"/>
          <w:sz w:val="24"/>
          <w:szCs w:val="24"/>
          <w:highlight w:val="white"/>
        </w:rPr>
        <w:t>Joint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staff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working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document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Eastern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Pa</w:t>
      </w:r>
      <w:r>
        <w:rPr>
          <w:color w:val="212529"/>
          <w:sz w:val="24"/>
          <w:szCs w:val="24"/>
          <w:highlight w:val="white"/>
        </w:rPr>
        <w:t>rtnership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Roadmap</w:t>
      </w:r>
      <w:proofErr w:type="spellEnd"/>
      <w:r>
        <w:rPr>
          <w:color w:val="212529"/>
          <w:sz w:val="24"/>
          <w:szCs w:val="24"/>
          <w:highlight w:val="white"/>
        </w:rPr>
        <w:t xml:space="preserve"> 2012-13: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bilateral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dimension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Accompanying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document</w:t>
      </w:r>
      <w:proofErr w:type="spellEnd"/>
      <w:r>
        <w:rPr>
          <w:color w:val="212529"/>
          <w:sz w:val="24"/>
          <w:szCs w:val="24"/>
          <w:highlight w:val="white"/>
        </w:rPr>
        <w:t xml:space="preserve"> JOINT COMMUNICATION TO THE EUROPEAN PARLIAMENT, THE COUNCIL, THE EUROPEAN ECONOMIC AND SOCIAL COMMITTEE AND THE COMMITTEE OF THE REGIONS </w:t>
      </w:r>
      <w:proofErr w:type="spellStart"/>
      <w:r>
        <w:rPr>
          <w:color w:val="212529"/>
          <w:sz w:val="24"/>
          <w:szCs w:val="24"/>
          <w:highlight w:val="white"/>
        </w:rPr>
        <w:t>Eastern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Partnership</w:t>
      </w:r>
      <w:proofErr w:type="spellEnd"/>
      <w:r>
        <w:rPr>
          <w:color w:val="212529"/>
          <w:sz w:val="24"/>
          <w:szCs w:val="24"/>
          <w:highlight w:val="white"/>
        </w:rPr>
        <w:t xml:space="preserve">: A </w:t>
      </w:r>
      <w:proofErr w:type="spellStart"/>
      <w:r>
        <w:rPr>
          <w:color w:val="212529"/>
          <w:sz w:val="24"/>
          <w:szCs w:val="24"/>
          <w:highlight w:val="white"/>
        </w:rPr>
        <w:t>Roadmap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to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the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autu</w:t>
      </w:r>
      <w:r>
        <w:rPr>
          <w:color w:val="212529"/>
          <w:sz w:val="24"/>
          <w:szCs w:val="24"/>
          <w:highlight w:val="white"/>
        </w:rPr>
        <w:t>mn</w:t>
      </w:r>
      <w:proofErr w:type="spellEnd"/>
      <w:r>
        <w:rPr>
          <w:color w:val="212529"/>
          <w:sz w:val="24"/>
          <w:szCs w:val="24"/>
          <w:highlight w:val="white"/>
        </w:rPr>
        <w:t xml:space="preserve"> 2013 </w:t>
      </w:r>
      <w:proofErr w:type="spellStart"/>
      <w:r>
        <w:rPr>
          <w:color w:val="212529"/>
          <w:sz w:val="24"/>
          <w:szCs w:val="24"/>
          <w:highlight w:val="white"/>
        </w:rPr>
        <w:t>Summit</w:t>
      </w:r>
      <w:proofErr w:type="spellEnd"/>
      <w:r>
        <w:rPr>
          <w:color w:val="212529"/>
          <w:sz w:val="24"/>
          <w:szCs w:val="24"/>
          <w:highlight w:val="white"/>
        </w:rPr>
        <w:t xml:space="preserve"> // </w:t>
      </w:r>
      <w:proofErr w:type="spellStart"/>
      <w:r>
        <w:rPr>
          <w:color w:val="212529"/>
          <w:sz w:val="24"/>
          <w:szCs w:val="24"/>
          <w:highlight w:val="white"/>
        </w:rPr>
        <w:t>European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Commission</w:t>
      </w:r>
      <w:proofErr w:type="spellEnd"/>
      <w:r>
        <w:rPr>
          <w:color w:val="212529"/>
          <w:sz w:val="24"/>
          <w:szCs w:val="24"/>
          <w:highlight w:val="white"/>
        </w:rPr>
        <w:t xml:space="preserve">. - 2012. - Режим </w:t>
      </w:r>
      <w:proofErr w:type="gramStart"/>
      <w:r>
        <w:rPr>
          <w:color w:val="212529"/>
          <w:sz w:val="24"/>
          <w:szCs w:val="24"/>
          <w:highlight w:val="white"/>
        </w:rPr>
        <w:t>доступа:</w:t>
      </w:r>
      <w:hyperlink r:id="rId27">
        <w:r>
          <w:rPr>
            <w:color w:val="1155CC"/>
            <w:sz w:val="24"/>
            <w:szCs w:val="24"/>
            <w:highlight w:val="white"/>
            <w:u w:val="single"/>
          </w:rPr>
          <w:t>https://eur-lex.europa.eu/legal-content/en/ALL/?uri=CELEX:52012SC0109</w:t>
        </w:r>
        <w:proofErr w:type="gramEnd"/>
      </w:hyperlink>
    </w:p>
    <w:p w:rsidR="00385797" w:rsidRDefault="00E26CC8">
      <w:pPr>
        <w:spacing w:before="240" w:after="240"/>
        <w:jc w:val="both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 </w:t>
      </w:r>
    </w:p>
    <w:p w:rsidR="00385797" w:rsidRDefault="00E26CC8">
      <w:pPr>
        <w:spacing w:before="240" w:after="240"/>
        <w:jc w:val="both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t xml:space="preserve"> </w:t>
      </w:r>
    </w:p>
    <w:p w:rsidR="00385797" w:rsidRDefault="00E26CC8">
      <w:pPr>
        <w:spacing w:before="240" w:after="240"/>
        <w:jc w:val="both"/>
      </w:pPr>
      <w:r>
        <w:t xml:space="preserve"> </w:t>
      </w:r>
    </w:p>
    <w:p w:rsidR="00385797" w:rsidRDefault="00E26CC8">
      <w:pPr>
        <w:spacing w:before="240" w:after="240"/>
      </w:pPr>
      <w:r>
        <w:t xml:space="preserve"> </w:t>
      </w:r>
    </w:p>
    <w:p w:rsidR="00385797" w:rsidRDefault="00385797">
      <w:bookmarkStart w:id="0" w:name="_GoBack"/>
      <w:bookmarkEnd w:id="0"/>
    </w:p>
    <w:sectPr w:rsidR="00385797">
      <w:headerReference w:type="default" r:id="rId2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C8" w:rsidRDefault="00E26CC8">
      <w:pPr>
        <w:spacing w:line="240" w:lineRule="auto"/>
      </w:pPr>
      <w:r>
        <w:separator/>
      </w:r>
    </w:p>
  </w:endnote>
  <w:endnote w:type="continuationSeparator" w:id="0">
    <w:p w:rsidR="00E26CC8" w:rsidRDefault="00E2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C8" w:rsidRDefault="00E26CC8">
      <w:pPr>
        <w:spacing w:line="240" w:lineRule="auto"/>
      </w:pPr>
      <w:r>
        <w:separator/>
      </w:r>
    </w:p>
  </w:footnote>
  <w:footnote w:type="continuationSeparator" w:id="0">
    <w:p w:rsidR="00E26CC8" w:rsidRDefault="00E2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4" w:rsidRPr="00871984" w:rsidRDefault="00871984" w:rsidP="00871984">
    <w:pPr>
      <w:pStyle w:val="ae"/>
      <w:jc w:val="right"/>
      <w:rPr>
        <w:rFonts w:ascii="Times New Roman" w:hAnsi="Times New Roman" w:cs="Times New Roman"/>
        <w:sz w:val="20"/>
        <w:szCs w:val="20"/>
        <w:lang w:val="ru-RU"/>
      </w:rPr>
    </w:pPr>
    <w:r w:rsidRPr="00871984">
      <w:rPr>
        <w:rFonts w:ascii="Times New Roman" w:hAnsi="Times New Roman" w:cs="Times New Roman"/>
        <w:sz w:val="20"/>
        <w:lang w:val="ru-RU"/>
      </w:rPr>
      <w:t>Материал разработан на</w:t>
    </w:r>
    <w:r w:rsidRPr="00871984">
      <w:rPr>
        <w:rFonts w:ascii="Times New Roman" w:hAnsi="Times New Roman" w:cs="Times New Roman"/>
        <w:sz w:val="20"/>
        <w:szCs w:val="20"/>
        <w:lang w:val="ru-RU"/>
      </w:rPr>
      <w:t xml:space="preserve"> Учебно-практических курс</w:t>
    </w:r>
    <w:r w:rsidRPr="00871984">
      <w:rPr>
        <w:rFonts w:ascii="Times New Roman" w:hAnsi="Times New Roman" w:cs="Times New Roman"/>
        <w:sz w:val="20"/>
        <w:lang w:val="ru-RU"/>
      </w:rPr>
      <w:t>ах</w:t>
    </w:r>
    <w:r w:rsidRPr="00871984">
      <w:rPr>
        <w:rFonts w:ascii="Times New Roman" w:hAnsi="Times New Roman" w:cs="Times New Roman"/>
        <w:sz w:val="20"/>
        <w:szCs w:val="20"/>
        <w:lang w:val="ru-RU"/>
      </w:rPr>
      <w:t xml:space="preserve"> «Европейский Союз: тренинг для преподавателей», </w:t>
    </w:r>
    <w:r w:rsidRPr="00871984">
      <w:rPr>
        <w:rFonts w:ascii="Times New Roman" w:hAnsi="Times New Roman" w:cs="Times New Roman"/>
        <w:sz w:val="20"/>
        <w:szCs w:val="20"/>
        <w:lang w:val="ru-RU"/>
      </w:rPr>
      <w:br/>
      <w:t>5-7 июля 2021 г.</w:t>
    </w:r>
  </w:p>
  <w:p w:rsidR="00871984" w:rsidRPr="00871984" w:rsidRDefault="00871984" w:rsidP="00871984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871984">
      <w:rPr>
        <w:rFonts w:ascii="Times New Roman" w:hAnsi="Times New Roman" w:cs="Times New Roman"/>
        <w:sz w:val="20"/>
        <w:szCs w:val="20"/>
        <w:lang w:val="ru-RU"/>
      </w:rPr>
      <w:t xml:space="preserve">Организаторы: АЕВИС, ИЕ РАН и ННГУ им. Н.И. Лобачевского при финансовой поддержке </w:t>
    </w:r>
    <w:r w:rsidRPr="00871984">
      <w:rPr>
        <w:rFonts w:ascii="Times New Roman" w:hAnsi="Times New Roman" w:cs="Times New Roman"/>
        <w:color w:val="000000"/>
        <w:sz w:val="20"/>
        <w:szCs w:val="20"/>
        <w:lang w:val="ru-RU"/>
      </w:rPr>
      <w:t>программы Европейского союза Жан Монне (</w:t>
    </w:r>
    <w:proofErr w:type="spellStart"/>
    <w:r w:rsidRPr="00871984">
      <w:rPr>
        <w:rFonts w:ascii="Times New Roman" w:hAnsi="Times New Roman" w:cs="Times New Roman"/>
        <w:color w:val="000000"/>
        <w:sz w:val="20"/>
        <w:szCs w:val="20"/>
        <w:lang w:val="ru-RU"/>
      </w:rPr>
      <w:t>Erasmus</w:t>
    </w:r>
    <w:proofErr w:type="spellEnd"/>
    <w:r w:rsidRPr="00871984">
      <w:rPr>
        <w:rFonts w:ascii="Times New Roman" w:hAnsi="Times New Roman" w:cs="Times New Roman"/>
        <w:color w:val="000000"/>
        <w:sz w:val="20"/>
        <w:szCs w:val="20"/>
        <w:lang w:val="ru-RU"/>
      </w:rPr>
      <w:t>+), проект</w:t>
    </w:r>
    <w:r w:rsidRPr="00871984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871984">
      <w:rPr>
        <w:rFonts w:ascii="Times New Roman" w:hAnsi="Times New Roman" w:cs="Times New Roman"/>
        <w:sz w:val="20"/>
        <w:szCs w:val="20"/>
      </w:rPr>
      <w:t>620300-EPP-1-2020-1-RU-EPPJMO-PROJEC</w:t>
    </w:r>
    <w:r w:rsidRPr="00871984">
      <w:rPr>
        <w:rFonts w:ascii="Times New Roman" w:hAnsi="Times New Roman" w:cs="Times New Roman"/>
        <w:sz w:val="20"/>
        <w:szCs w:val="20"/>
        <w:lang w:val="en-US"/>
      </w:rPr>
      <w:t>T</w:t>
    </w:r>
    <w:r w:rsidRPr="00871984">
      <w:rPr>
        <w:rFonts w:ascii="Times New Roman" w:hAnsi="Times New Roman" w:cs="Times New Roman"/>
        <w:sz w:val="20"/>
        <w:szCs w:val="20"/>
      </w:rPr>
      <w:t xml:space="preserve"> </w:t>
    </w:r>
  </w:p>
  <w:p w:rsidR="00385797" w:rsidRPr="00871984" w:rsidRDefault="00385797" w:rsidP="0087198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97"/>
    <w:rsid w:val="00385797"/>
    <w:rsid w:val="00871984"/>
    <w:rsid w:val="00E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FFB1-2225-47B1-9527-FD6B320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8719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1984"/>
  </w:style>
  <w:style w:type="paragraph" w:styleId="af0">
    <w:name w:val="footer"/>
    <w:basedOn w:val="a"/>
    <w:link w:val="af1"/>
    <w:uiPriority w:val="99"/>
    <w:unhideWhenUsed/>
    <w:rsid w:val="0087198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5741" TargetMode="External"/><Relationship Id="rId13" Type="http://schemas.openxmlformats.org/officeDocument/2006/relationships/hyperlink" Target="https://www.imemo.ru/files/File/magazines/rossia_i_novay/2018_01/Grigoryan_82-105.pdf" TargetMode="External"/><Relationship Id="rId18" Type="http://schemas.openxmlformats.org/officeDocument/2006/relationships/hyperlink" Target="https://www.imemo.ru/files/File/magazines/rossia_i_novay/2015_02/Vstuplenie_Fedorovskaya.pdf" TargetMode="External"/><Relationship Id="rId26" Type="http://schemas.openxmlformats.org/officeDocument/2006/relationships/hyperlink" Target="https://www.consilium.europa.eu/uedocs/cms_Data/docs/pressdata/EN/foraff/13976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assets/eac/culture/policy/international-cooperation/documents/country-reports/armenia_en.pdf" TargetMode="External"/><Relationship Id="rId7" Type="http://schemas.openxmlformats.org/officeDocument/2006/relationships/hyperlink" Target="https://www.mid.ru/foreign_policy/international_contracts/2_contract/-/storage-viewer/bilateral/page-1/51760" TargetMode="External"/><Relationship Id="rId12" Type="http://schemas.openxmlformats.org/officeDocument/2006/relationships/hyperlink" Target="https://www.imemo.ru/files/File/magazines/rossia_i_novay/2018_01/Grigoryan_82-105.pdf" TargetMode="External"/><Relationship Id="rId17" Type="http://schemas.openxmlformats.org/officeDocument/2006/relationships/hyperlink" Target="https://www.imemo.ru/files/File/magazines/rossia_i_novay/2015_02/Vstuplenie_Fedorovskaya.pdf" TargetMode="External"/><Relationship Id="rId25" Type="http://schemas.openxmlformats.org/officeDocument/2006/relationships/hyperlink" Target="https://www.consilium.europa.eu/uedocs/cms_Data/docs/pressdata/EN/foraff/13976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a.ru/20201224/postavki-1590700436.html" TargetMode="External"/><Relationship Id="rId20" Type="http://schemas.openxmlformats.org/officeDocument/2006/relationships/hyperlink" Target="https://eeas.europa.eu/delegations/armenia_en/896/Armenia%20and%20the%20E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d.ru/foreign_policy/international_contracts/2_contract/-/storage-viewer/bilateral/page-1/51760" TargetMode="External"/><Relationship Id="rId11" Type="http://schemas.openxmlformats.org/officeDocument/2006/relationships/hyperlink" Target="https://eurasia.expert/novaya-vneshnyaya-politika-armenii-chto-izmenil-pashinyan/" TargetMode="External"/><Relationship Id="rId24" Type="http://schemas.openxmlformats.org/officeDocument/2006/relationships/hyperlink" Target="https://www.chathamhouse.org/2019/03/armenias-foreign-policy-balancing-age-uncertaint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rmenia.mid.ru/ru/countries/bilateral-relations/trade-economic-cooperation/" TargetMode="External"/><Relationship Id="rId23" Type="http://schemas.openxmlformats.org/officeDocument/2006/relationships/hyperlink" Target="https://www.chathamhouse.org/2019/03/armenias-foreign-policy-balancing-age-uncertaint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mfa.am/filemanager/eu/CEPA_ENG_1.pdf" TargetMode="External"/><Relationship Id="rId19" Type="http://schemas.openxmlformats.org/officeDocument/2006/relationships/hyperlink" Target="https://eeas.europa.eu/delegations/armenia_en/896/Armenia%20and%20the%20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fa.am/filemanager/eu/CEPA_ENG_1.pdf" TargetMode="External"/><Relationship Id="rId14" Type="http://schemas.openxmlformats.org/officeDocument/2006/relationships/hyperlink" Target="https://armenia.mid.ru/ru/countries/bilateral-relations/trade-economic-cooperation/" TargetMode="External"/><Relationship Id="rId22" Type="http://schemas.openxmlformats.org/officeDocument/2006/relationships/hyperlink" Target="https://ec.europa.eu/assets/eac/culture/policy/international-cooperation/documents/country-reports/armenia_en.pdf" TargetMode="External"/><Relationship Id="rId27" Type="http://schemas.openxmlformats.org/officeDocument/2006/relationships/hyperlink" Target="https://eur-lex.europa.eu/legal-content/en/ALL/?uri=CELEX:52012SC01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3050</Words>
  <Characters>17387</Characters>
  <Application>Microsoft Office Word</Application>
  <DocSecurity>0</DocSecurity>
  <Lines>144</Lines>
  <Paragraphs>40</Paragraphs>
  <ScaleCrop>false</ScaleCrop>
  <Company/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2</cp:revision>
  <dcterms:created xsi:type="dcterms:W3CDTF">2021-09-14T08:21:00Z</dcterms:created>
  <dcterms:modified xsi:type="dcterms:W3CDTF">2021-09-14T08:23:00Z</dcterms:modified>
</cp:coreProperties>
</file>